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9409A" w14:textId="34659032" w:rsidR="00C4076F" w:rsidRPr="00DC292A" w:rsidRDefault="00791020">
      <w:pPr>
        <w:jc w:val="center"/>
        <w:rPr>
          <w:b/>
          <w:sz w:val="36"/>
          <w:szCs w:val="36"/>
          <w:lang w:val="es-ES"/>
        </w:rPr>
      </w:pPr>
      <w:r w:rsidRPr="00DC292A">
        <w:rPr>
          <w:b/>
          <w:sz w:val="36"/>
          <w:szCs w:val="36"/>
          <w:lang w:val="es-UY" w:eastAsia="es-UY" w:bidi="es-UY"/>
        </w:rPr>
        <w:t xml:space="preserve">PLUNA EL CIERRE Y LAS RESPONSABILIDADES </w:t>
      </w:r>
    </w:p>
    <w:p w14:paraId="6889C611" w14:textId="77777777" w:rsidR="00C4076F" w:rsidRPr="00512F0E" w:rsidRDefault="00000000">
      <w:pPr>
        <w:jc w:val="center"/>
        <w:rPr>
          <w:bCs/>
        </w:rPr>
      </w:pPr>
      <w:r w:rsidRPr="00512F0E">
        <w:rPr>
          <w:bCs/>
          <w:lang w:val="es-UY" w:eastAsia="es-UY" w:bidi="es-UY"/>
        </w:rPr>
        <w:t>PDA Media &amp; Consulting</w:t>
      </w:r>
    </w:p>
    <w:p w14:paraId="088079A2" w14:textId="36BE8B38" w:rsidR="00C4076F" w:rsidRPr="00512F0E" w:rsidRDefault="00791020">
      <w:pPr>
        <w:spacing w:after="160" w:line="240" w:lineRule="auto"/>
        <w:jc w:val="center"/>
        <w:rPr>
          <w:rFonts w:eastAsiaTheme="minorHAnsi" w:cs="Arial"/>
          <w:bCs/>
          <w:i/>
          <w:iCs/>
          <w:color w:val="C00000"/>
          <w:kern w:val="2"/>
          <w:sz w:val="28"/>
          <w:szCs w:val="28"/>
          <w:u w:val="single"/>
          <w:lang w:val="es-ES"/>
          <w14:ligatures w14:val="standardContextual"/>
        </w:rPr>
      </w:pPr>
      <w:r w:rsidRPr="00512F0E">
        <w:rPr>
          <w:bCs/>
          <w:lang w:val="es-UY" w:eastAsia="es-UY" w:bidi="es-UY"/>
        </w:rPr>
        <w:t>Octubre 2026</w:t>
      </w:r>
    </w:p>
    <w:p w14:paraId="43C6EE34" w14:textId="77777777" w:rsidR="00C4076F" w:rsidRPr="00512F0E" w:rsidRDefault="00000000">
      <w:pPr>
        <w:spacing w:after="360" w:line="240" w:lineRule="auto"/>
        <w:jc w:val="center"/>
        <w:rPr>
          <w:rFonts w:eastAsiaTheme="minorHAnsi" w:cs="Arial"/>
          <w:bCs/>
          <w:i/>
          <w:iCs/>
          <w:color w:val="C00000"/>
          <w:kern w:val="2"/>
          <w:sz w:val="28"/>
          <w:szCs w:val="28"/>
          <w:u w:val="single"/>
          <w:lang w:val="es-UY"/>
          <w14:ligatures w14:val="standardContextual"/>
        </w:rPr>
      </w:pPr>
      <w:r w:rsidRPr="00512F0E">
        <w:rPr>
          <w:rFonts w:eastAsiaTheme="minorHAnsi" w:cs="Arial"/>
          <w:b/>
          <w:bCs/>
          <w:iCs/>
          <w:kern w:val="2"/>
          <w:sz w:val="28"/>
          <w:szCs w:val="28"/>
          <w:lang w:val="es-UY" w:eastAsia="es-UY" w:bidi="es-UY"/>
          <w14:ligatures w14:val="standardContextual"/>
        </w:rPr>
        <w:t>Resumen Ejecutivo</w:t>
      </w:r>
    </w:p>
    <w:p w14:paraId="3D74C22D" w14:textId="77777777" w:rsidR="00791020" w:rsidRPr="00512F0E" w:rsidRDefault="00791020" w:rsidP="00791020">
      <w:pPr>
        <w:spacing w:after="60" w:line="240" w:lineRule="auto"/>
        <w:jc w:val="both"/>
        <w:rPr>
          <w:bCs/>
          <w:sz w:val="24"/>
          <w:szCs w:val="24"/>
          <w:lang w:val="es-ES"/>
        </w:rPr>
      </w:pPr>
    </w:p>
    <w:p w14:paraId="0CA581BB" w14:textId="77777777" w:rsidR="00791020" w:rsidRPr="00512F0E" w:rsidRDefault="00791020" w:rsidP="00791020">
      <w:pPr>
        <w:spacing w:after="60" w:line="240" w:lineRule="auto"/>
        <w:jc w:val="both"/>
        <w:rPr>
          <w:bCs/>
          <w:sz w:val="24"/>
          <w:szCs w:val="24"/>
          <w:lang w:val="es-ES"/>
        </w:rPr>
      </w:pPr>
    </w:p>
    <w:p w14:paraId="1D808289" w14:textId="434A18C8" w:rsidR="00791020" w:rsidRPr="00512F0E" w:rsidRDefault="00791020" w:rsidP="00791020">
      <w:pPr>
        <w:spacing w:after="60" w:line="240" w:lineRule="auto"/>
        <w:jc w:val="both"/>
        <w:rPr>
          <w:bCs/>
          <w:sz w:val="24"/>
          <w:szCs w:val="24"/>
          <w:lang w:val="es-ES"/>
        </w:rPr>
      </w:pPr>
      <w:r w:rsidRPr="00512F0E">
        <w:rPr>
          <w:bCs/>
          <w:szCs w:val="24"/>
          <w:lang w:val="es-UY" w:eastAsia="es-UY" w:bidi="es-UY"/>
        </w:rPr>
        <w:t xml:space="preserve">Este estudio de PDA Media &amp; </w:t>
      </w:r>
      <w:proofErr w:type="spellStart"/>
      <w:r w:rsidRPr="00512F0E">
        <w:rPr>
          <w:bCs/>
          <w:szCs w:val="24"/>
          <w:lang w:val="es-UY" w:eastAsia="es-UY" w:bidi="es-UY"/>
        </w:rPr>
        <w:t>Consulting</w:t>
      </w:r>
      <w:proofErr w:type="spellEnd"/>
      <w:r w:rsidRPr="00512F0E">
        <w:rPr>
          <w:bCs/>
          <w:szCs w:val="24"/>
          <w:lang w:val="es-UY" w:eastAsia="es-UY" w:bidi="es-UY"/>
        </w:rPr>
        <w:t xml:space="preserve"> sostiene que el gobierno de José Mujica cerró la mejor </w:t>
      </w:r>
      <w:proofErr w:type="spellStart"/>
      <w:r w:rsidRPr="00512F0E">
        <w:rPr>
          <w:bCs/>
          <w:szCs w:val="24"/>
          <w:lang w:val="es-UY" w:eastAsia="es-UY" w:bidi="es-UY"/>
        </w:rPr>
        <w:t>Pluna</w:t>
      </w:r>
      <w:proofErr w:type="spellEnd"/>
      <w:r w:rsidRPr="00512F0E">
        <w:rPr>
          <w:bCs/>
          <w:szCs w:val="24"/>
          <w:lang w:val="es-UY" w:eastAsia="es-UY" w:bidi="es-UY"/>
        </w:rPr>
        <w:t xml:space="preserve"> de la historia y privó a Uruguay de una herramienta estratégica de conectividad, turismo y desarrollo. Reconstruye las decisiones que condujeron al cierre y la operación posterior con los aviones, que el autor identifica como una maniobra orientada a favorecer a Juan Carlos López Mena.</w:t>
      </w:r>
    </w:p>
    <w:p w14:paraId="31CBD061" w14:textId="77777777" w:rsidR="00791020" w:rsidRPr="00512F0E" w:rsidRDefault="00791020" w:rsidP="00791020">
      <w:pPr>
        <w:spacing w:after="60" w:line="240" w:lineRule="auto"/>
        <w:jc w:val="both"/>
        <w:rPr>
          <w:bCs/>
          <w:sz w:val="24"/>
          <w:szCs w:val="24"/>
          <w:lang w:val="es-ES"/>
        </w:rPr>
      </w:pPr>
    </w:p>
    <w:p w14:paraId="661C8DE5" w14:textId="77777777" w:rsidR="00791020" w:rsidRPr="00512F0E" w:rsidRDefault="00791020" w:rsidP="00791020">
      <w:pPr>
        <w:spacing w:after="60" w:line="240" w:lineRule="auto"/>
        <w:jc w:val="both"/>
        <w:rPr>
          <w:bCs/>
          <w:sz w:val="24"/>
          <w:szCs w:val="24"/>
          <w:lang w:val="es-ES"/>
        </w:rPr>
      </w:pPr>
      <w:r w:rsidRPr="00512F0E">
        <w:rPr>
          <w:bCs/>
          <w:szCs w:val="24"/>
          <w:lang w:val="es-UY" w:eastAsia="es-UY" w:bidi="es-UY"/>
        </w:rPr>
        <w:t xml:space="preserve">La investigación publicada en </w:t>
      </w:r>
      <w:proofErr w:type="spellStart"/>
      <w:r w:rsidRPr="00512F0E">
        <w:rPr>
          <w:bCs/>
          <w:szCs w:val="24"/>
          <w:lang w:val="es-UY" w:eastAsia="es-UY" w:bidi="es-UY"/>
        </w:rPr>
        <w:t>Pluna</w:t>
      </w:r>
      <w:proofErr w:type="spellEnd"/>
      <w:r w:rsidRPr="00512F0E">
        <w:rPr>
          <w:bCs/>
          <w:szCs w:val="24"/>
          <w:lang w:val="es-UY" w:eastAsia="es-UY" w:bidi="es-UY"/>
        </w:rPr>
        <w:t xml:space="preserve">, el riesgo de volar alto cuestionó documentalmente las acusaciones contra Campiani y sus socios. </w:t>
      </w:r>
      <w:proofErr w:type="spellStart"/>
      <w:r w:rsidRPr="00512F0E">
        <w:rPr>
          <w:bCs/>
          <w:szCs w:val="24"/>
          <w:lang w:val="es-UY" w:eastAsia="es-UY" w:bidi="es-UY"/>
        </w:rPr>
        <w:t>Aerovip</w:t>
      </w:r>
      <w:proofErr w:type="spellEnd"/>
      <w:r w:rsidRPr="00512F0E">
        <w:rPr>
          <w:bCs/>
          <w:szCs w:val="24"/>
          <w:lang w:val="es-UY" w:eastAsia="es-UY" w:bidi="es-UY"/>
        </w:rPr>
        <w:t xml:space="preserve"> produjo un resultado positivo de casi dos millones de dólares. De los 222 cheques librados a ANCAP, 201 habían sido honrados y los 21 restantes no habían vencido cuando los accionistas privados se retiraron.</w:t>
      </w:r>
    </w:p>
    <w:p w14:paraId="44DB287E" w14:textId="77777777" w:rsidR="00791020" w:rsidRPr="00512F0E" w:rsidRDefault="00791020" w:rsidP="00791020">
      <w:pPr>
        <w:spacing w:after="60" w:line="240" w:lineRule="auto"/>
        <w:jc w:val="both"/>
        <w:rPr>
          <w:bCs/>
          <w:sz w:val="24"/>
          <w:szCs w:val="24"/>
          <w:lang w:val="es-ES"/>
        </w:rPr>
      </w:pPr>
    </w:p>
    <w:p w14:paraId="707C8482" w14:textId="77777777" w:rsidR="00791020" w:rsidRPr="00512F0E" w:rsidRDefault="00791020" w:rsidP="00791020">
      <w:pPr>
        <w:spacing w:after="60" w:line="240" w:lineRule="auto"/>
        <w:jc w:val="both"/>
        <w:rPr>
          <w:bCs/>
          <w:sz w:val="24"/>
          <w:szCs w:val="24"/>
          <w:lang w:val="es-ES"/>
        </w:rPr>
      </w:pPr>
      <w:r w:rsidRPr="00512F0E">
        <w:rPr>
          <w:bCs/>
          <w:szCs w:val="24"/>
          <w:lang w:val="es-UY" w:eastAsia="es-UY" w:bidi="es-UY"/>
        </w:rPr>
        <w:t>El laudo del CIADI de 2024 respalda la tesis central del libro sobre la responsabilidad estatal en el desenlace. En enero de 2026, Jorge Barrera declaró que la causa penal continuaba sin sentencia y sin acusación fiscal.</w:t>
      </w:r>
    </w:p>
    <w:p w14:paraId="5E8C40C7" w14:textId="77777777" w:rsidR="00791020" w:rsidRPr="00512F0E" w:rsidRDefault="00791020" w:rsidP="00791020">
      <w:pPr>
        <w:spacing w:after="60" w:line="240" w:lineRule="auto"/>
        <w:jc w:val="both"/>
        <w:rPr>
          <w:bCs/>
          <w:sz w:val="24"/>
          <w:szCs w:val="24"/>
          <w:lang w:val="es-ES"/>
        </w:rPr>
      </w:pPr>
    </w:p>
    <w:p w14:paraId="73F4708D" w14:textId="77777777" w:rsidR="00791020" w:rsidRPr="00512F0E" w:rsidRDefault="00791020" w:rsidP="00791020">
      <w:pPr>
        <w:spacing w:after="60" w:line="240" w:lineRule="auto"/>
        <w:jc w:val="both"/>
        <w:rPr>
          <w:bCs/>
          <w:sz w:val="24"/>
          <w:szCs w:val="24"/>
          <w:lang w:val="es-ES"/>
        </w:rPr>
      </w:pPr>
      <w:r w:rsidRPr="00512F0E">
        <w:rPr>
          <w:bCs/>
          <w:szCs w:val="24"/>
          <w:lang w:val="es-UY" w:eastAsia="es-UY" w:bidi="es-UY"/>
        </w:rPr>
        <w:t xml:space="preserve">El balance exige respuestas sobre las actuaciones de Mujica, López Mena, Lorenzo, Pintado y Moreira, y cuestiona que se confíe a </w:t>
      </w:r>
      <w:proofErr w:type="spellStart"/>
      <w:r w:rsidRPr="00512F0E">
        <w:rPr>
          <w:bCs/>
          <w:szCs w:val="24"/>
          <w:lang w:val="es-UY" w:eastAsia="es-UY" w:bidi="es-UY"/>
        </w:rPr>
        <w:t>Seitún</w:t>
      </w:r>
      <w:proofErr w:type="spellEnd"/>
      <w:r w:rsidRPr="00512F0E">
        <w:rPr>
          <w:bCs/>
          <w:szCs w:val="24"/>
          <w:lang w:val="es-UY" w:eastAsia="es-UY" w:bidi="es-UY"/>
        </w:rPr>
        <w:t xml:space="preserve"> un cargo de responsabilidad en la DINACIA después de su intervención en la subasta.</w:t>
      </w:r>
    </w:p>
    <w:p w14:paraId="576FDAE6" w14:textId="77777777" w:rsidR="00791020" w:rsidRPr="00512F0E" w:rsidRDefault="00791020" w:rsidP="00791020">
      <w:pPr>
        <w:spacing w:after="60" w:line="240" w:lineRule="auto"/>
        <w:jc w:val="both"/>
        <w:rPr>
          <w:bCs/>
          <w:sz w:val="24"/>
          <w:szCs w:val="24"/>
          <w:lang w:val="es-ES"/>
        </w:rPr>
      </w:pPr>
    </w:p>
    <w:p w14:paraId="038EBED9" w14:textId="77777777" w:rsidR="00791020" w:rsidRPr="00512F0E" w:rsidRDefault="00791020" w:rsidP="00791020">
      <w:pPr>
        <w:spacing w:after="60" w:line="240" w:lineRule="auto"/>
        <w:jc w:val="both"/>
        <w:rPr>
          <w:bCs/>
          <w:sz w:val="24"/>
          <w:szCs w:val="24"/>
          <w:lang w:val="es-ES"/>
        </w:rPr>
      </w:pPr>
      <w:r w:rsidRPr="00512F0E">
        <w:rPr>
          <w:bCs/>
          <w:szCs w:val="24"/>
          <w:lang w:val="es-UY" w:eastAsia="es-UY" w:bidi="es-UY"/>
        </w:rPr>
        <w:t>Mujica murió. López Mena y los demás protagonistas vivos todavía pueden responder. Uruguay pagó las consecuencias; catorce años después, la rendición de cuentas sigue pendiente.</w:t>
      </w:r>
    </w:p>
    <w:p w14:paraId="666659B3" w14:textId="77777777" w:rsidR="00791020" w:rsidRPr="00512F0E" w:rsidRDefault="00791020" w:rsidP="00791020">
      <w:pPr>
        <w:spacing w:after="60" w:line="240" w:lineRule="auto"/>
        <w:jc w:val="both"/>
        <w:rPr>
          <w:bCs/>
          <w:sz w:val="24"/>
          <w:szCs w:val="24"/>
          <w:lang w:val="es-ES"/>
        </w:rPr>
      </w:pPr>
    </w:p>
    <w:p w14:paraId="64A0A861" w14:textId="74EB4ACA" w:rsidR="00791020" w:rsidRPr="00512F0E" w:rsidRDefault="00791020" w:rsidP="00791020">
      <w:pPr>
        <w:spacing w:after="60" w:line="240" w:lineRule="auto"/>
        <w:jc w:val="both"/>
        <w:rPr>
          <w:bCs/>
          <w:sz w:val="24"/>
          <w:szCs w:val="24"/>
          <w:lang w:val="es-ES"/>
        </w:rPr>
      </w:pPr>
      <w:r w:rsidRPr="00512F0E">
        <w:rPr>
          <w:bCs/>
          <w:noProof/>
          <w:szCs w:val="24"/>
          <w:lang w:val="es-UY" w:eastAsia="es-UY" w:bidi="es-UY"/>
        </w:rPr>
        <w:drawing>
          <wp:inline distT="0" distB="0" distL="0" distR="0" wp14:anchorId="4A4CBCD4" wp14:editId="241280FE">
            <wp:extent cx="1706880" cy="993775"/>
            <wp:effectExtent l="0" t="0" r="0" b="0"/>
            <wp:docPr id="17541173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6880" cy="993775"/>
                    </a:xfrm>
                    <a:prstGeom prst="rect">
                      <a:avLst/>
                    </a:prstGeom>
                    <a:noFill/>
                  </pic:spPr>
                </pic:pic>
              </a:graphicData>
            </a:graphic>
          </wp:inline>
        </w:drawing>
      </w:r>
    </w:p>
    <w:p w14:paraId="1EC8407B" w14:textId="77777777" w:rsidR="00512F0E" w:rsidRPr="00512F0E" w:rsidRDefault="00512F0E" w:rsidP="00512F0E">
      <w:pPr>
        <w:spacing w:after="60" w:line="240" w:lineRule="auto"/>
        <w:jc w:val="both"/>
        <w:rPr>
          <w:bCs/>
          <w:sz w:val="24"/>
          <w:szCs w:val="24"/>
          <w:lang w:val="es-ES"/>
        </w:rPr>
      </w:pPr>
      <w:r w:rsidRPr="00512F0E">
        <w:rPr>
          <w:bCs/>
          <w:szCs w:val="24"/>
          <w:lang w:val="es-UY" w:eastAsia="es-UY" w:bidi="es-UY"/>
        </w:rPr>
        <w:t>Sergio Antonio Herrera</w:t>
      </w:r>
    </w:p>
    <w:p w14:paraId="035E7425" w14:textId="77777777" w:rsidR="00512F0E" w:rsidRPr="00512F0E" w:rsidRDefault="00512F0E" w:rsidP="00512F0E">
      <w:pPr>
        <w:spacing w:after="60" w:line="240" w:lineRule="auto"/>
        <w:jc w:val="both"/>
        <w:rPr>
          <w:bCs/>
          <w:sz w:val="24"/>
          <w:szCs w:val="24"/>
          <w:lang w:val="es-ES"/>
        </w:rPr>
      </w:pPr>
      <w:r w:rsidRPr="00512F0E">
        <w:rPr>
          <w:bCs/>
          <w:szCs w:val="24"/>
          <w:lang w:val="es-UY" w:eastAsia="es-UY" w:bidi="es-UY"/>
        </w:rPr>
        <w:t>Director Ejecutivo</w:t>
      </w:r>
    </w:p>
    <w:p w14:paraId="29434578" w14:textId="599A7187" w:rsidR="00C4076F" w:rsidRPr="00512F0E" w:rsidRDefault="00512F0E" w:rsidP="00512F0E">
      <w:pPr>
        <w:spacing w:after="60" w:line="240" w:lineRule="auto"/>
        <w:jc w:val="both"/>
        <w:rPr>
          <w:bCs/>
          <w:sz w:val="24"/>
          <w:szCs w:val="24"/>
          <w:lang w:val="es-ES"/>
        </w:rPr>
      </w:pPr>
      <w:r w:rsidRPr="00512F0E">
        <w:rPr>
          <w:bCs/>
          <w:szCs w:val="24"/>
          <w:lang w:val="es-UY" w:eastAsia="es-UY" w:bidi="es-UY"/>
        </w:rPr>
        <w:t>Grupo PDA – Portal de América</w:t>
      </w:r>
    </w:p>
    <w:p w14:paraId="14CCD534" w14:textId="77777777" w:rsidR="00C4076F" w:rsidRPr="00512F0E" w:rsidRDefault="00C4076F">
      <w:pPr>
        <w:spacing w:after="60" w:line="360" w:lineRule="auto"/>
        <w:jc w:val="both"/>
        <w:rPr>
          <w:bCs/>
          <w:sz w:val="24"/>
          <w:szCs w:val="24"/>
        </w:rPr>
      </w:pPr>
    </w:p>
    <w:p w14:paraId="0E982E1E" w14:textId="77777777" w:rsidR="00DC292A" w:rsidRDefault="00DC292A" w:rsidP="00512F0E">
      <w:pPr>
        <w:spacing w:before="160" w:after="80" w:line="240" w:lineRule="auto"/>
        <w:rPr>
          <w:b/>
          <w:sz w:val="24"/>
          <w:szCs w:val="21"/>
          <w:lang w:val="es-UY" w:eastAsia="es-UY" w:bidi="es-UY"/>
        </w:rPr>
      </w:pPr>
    </w:p>
    <w:p w14:paraId="7E582295" w14:textId="591B7D06" w:rsidR="00512F0E" w:rsidRPr="00512F0E" w:rsidRDefault="00512F0E" w:rsidP="00512F0E">
      <w:pPr>
        <w:spacing w:before="160" w:after="80" w:line="240" w:lineRule="auto"/>
        <w:rPr>
          <w:b/>
          <w:sz w:val="21"/>
          <w:szCs w:val="21"/>
        </w:rPr>
      </w:pPr>
      <w:r w:rsidRPr="00512F0E">
        <w:rPr>
          <w:b/>
          <w:sz w:val="24"/>
          <w:szCs w:val="21"/>
          <w:lang w:val="es-UY" w:eastAsia="es-UY" w:bidi="es-UY"/>
        </w:rPr>
        <w:lastRenderedPageBreak/>
        <w:t>El contexto que se perdió detrás de las acusaciones</w:t>
      </w:r>
    </w:p>
    <w:p w14:paraId="0E116FD6" w14:textId="77777777" w:rsidR="00512F0E" w:rsidRPr="00512F0E" w:rsidRDefault="00512F0E" w:rsidP="00512F0E">
      <w:pPr>
        <w:spacing w:after="60" w:line="240" w:lineRule="auto"/>
        <w:rPr>
          <w:bCs/>
          <w:sz w:val="21"/>
          <w:szCs w:val="21"/>
        </w:rPr>
      </w:pPr>
    </w:p>
    <w:p w14:paraId="1633BB85"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Para Sergio Antonio Herrera, lo que el gobierno cerró en julio de 2012 fue la mejor </w:t>
      </w:r>
      <w:proofErr w:type="spellStart"/>
      <w:r w:rsidRPr="00512F0E">
        <w:rPr>
          <w:bCs/>
          <w:szCs w:val="21"/>
          <w:lang w:val="es-UY" w:eastAsia="es-UY" w:bidi="es-UY"/>
        </w:rPr>
        <w:t>Pluna</w:t>
      </w:r>
      <w:proofErr w:type="spellEnd"/>
      <w:r w:rsidRPr="00512F0E">
        <w:rPr>
          <w:bCs/>
          <w:szCs w:val="21"/>
          <w:lang w:val="es-UY" w:eastAsia="es-UY" w:bidi="es-UY"/>
        </w:rPr>
        <w:t xml:space="preserve"> de la historia: una empresa que había renovado su flota, ampliado su red y convertido Montevideo en un centro regional de conexiones. Esa es la valoración que orienta este estudio y el punto de partida de su crítica al desenlace.</w:t>
      </w:r>
    </w:p>
    <w:p w14:paraId="59ADADDD"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cierre de </w:t>
      </w:r>
      <w:proofErr w:type="spellStart"/>
      <w:r w:rsidRPr="00512F0E">
        <w:rPr>
          <w:bCs/>
          <w:szCs w:val="21"/>
          <w:lang w:val="es-UY" w:eastAsia="es-UY" w:bidi="es-UY"/>
        </w:rPr>
        <w:t>Pluna</w:t>
      </w:r>
      <w:proofErr w:type="spellEnd"/>
      <w:r w:rsidRPr="00512F0E">
        <w:rPr>
          <w:bCs/>
          <w:szCs w:val="21"/>
          <w:lang w:val="es-UY" w:eastAsia="es-UY" w:bidi="es-UY"/>
        </w:rPr>
        <w:t xml:space="preserve"> debe examinarse a partir de la empresa que existía antes de julio de 2012, de las posibilidades que se le cancelaron y de las decisiones que tomó el gobierno de José Mujica. Este estudio sostiene que la desaparición de la aerolínea fue el resultado de una intervención política que agravó sus dificultades financieras, desplazó a los accionistas privados y abrió paso a una operación con los aviones en la que Juan Carlos López Mena tuvo un papel central. La investigación desarrollada en </w:t>
      </w:r>
      <w:proofErr w:type="spellStart"/>
      <w:r w:rsidRPr="00512F0E">
        <w:rPr>
          <w:bCs/>
          <w:szCs w:val="21"/>
          <w:lang w:val="es-UY" w:eastAsia="es-UY" w:bidi="es-UY"/>
        </w:rPr>
        <w:t>Pluna</w:t>
      </w:r>
      <w:proofErr w:type="spellEnd"/>
      <w:r w:rsidRPr="00512F0E">
        <w:rPr>
          <w:bCs/>
          <w:szCs w:val="21"/>
          <w:lang w:val="es-UY" w:eastAsia="es-UY" w:bidi="es-UY"/>
        </w:rPr>
        <w:t>, el riesgo de volar alto, publicado en 2014, constituye la base de esta reconstrucción. Las publicaciones posteriores del PDA, la entrevista a Jorge Barrera y el laudo del CIADI permiten continuarla hasta las responsabilidades que siguen pendientes en 2026. [1]</w:t>
      </w:r>
    </w:p>
    <w:p w14:paraId="76F3DB3D" w14:textId="77777777" w:rsidR="00512F0E" w:rsidRPr="00512F0E" w:rsidRDefault="00512F0E" w:rsidP="00512F0E">
      <w:pPr>
        <w:spacing w:after="60" w:line="240" w:lineRule="auto"/>
        <w:rPr>
          <w:bCs/>
          <w:sz w:val="21"/>
          <w:szCs w:val="21"/>
        </w:rPr>
      </w:pPr>
      <w:proofErr w:type="spellStart"/>
      <w:r w:rsidRPr="00512F0E">
        <w:rPr>
          <w:bCs/>
          <w:szCs w:val="21"/>
          <w:lang w:val="es-UY" w:eastAsia="es-UY" w:bidi="es-UY"/>
        </w:rPr>
        <w:t>Pluna</w:t>
      </w:r>
      <w:proofErr w:type="spellEnd"/>
      <w:r w:rsidRPr="00512F0E">
        <w:rPr>
          <w:bCs/>
          <w:szCs w:val="21"/>
          <w:lang w:val="es-UY" w:eastAsia="es-UY" w:bidi="es-UY"/>
        </w:rPr>
        <w:t xml:space="preserve"> llegaba a 2012 después de una transformación profunda. La incorporación de los CRJ de Bombardier y la construcción de una red regional con conexiones en Montevideo habían cambiado su escala y su función. Carrasco operaba como un centro de distribución de pasajeros entre ciudades de la región, con una importancia que excedía los resultados contables de la compañía. El año 2011 es presentado por Herrera como el mejor momento del desarrollo de ese modelo. Ese juicio se refiere a su expansión y a su aporte a la conectividad; no convierte un ejercicio con dificultades en un año de ganancias ni autoriza a confundir facturación, movimiento económico y utilidad.</w:t>
      </w:r>
    </w:p>
    <w:p w14:paraId="042E98D8"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En una presentación de la gerencia de junio de 2012, recogida en el libro, se estimaba en más de 250 millones de dólares anuales el beneficio económico asociado a la actividad de </w:t>
      </w:r>
      <w:proofErr w:type="spellStart"/>
      <w:r w:rsidRPr="00512F0E">
        <w:rPr>
          <w:bCs/>
          <w:szCs w:val="21"/>
          <w:lang w:val="es-UY" w:eastAsia="es-UY" w:bidi="es-UY"/>
        </w:rPr>
        <w:t>Pluna</w:t>
      </w:r>
      <w:proofErr w:type="spellEnd"/>
      <w:r w:rsidRPr="00512F0E">
        <w:rPr>
          <w:bCs/>
          <w:szCs w:val="21"/>
          <w:lang w:val="es-UY" w:eastAsia="es-UY" w:bidi="es-UY"/>
        </w:rPr>
        <w:t>. El cálculo comprendía ingresos vinculados a visitantes, empleo y proveedores. Esa cifra corresponde a una estimación del aporte general de la actividad a la economía uruguaya, no a ganancias de la aerolínea. Su importancia radica en la pregunta que el gobierno debía contestar antes de cerrar: cuánto costaba sostener o reestructurar la empresa y cuánto perdería el país si destruía su red. [1]</w:t>
      </w:r>
    </w:p>
    <w:p w14:paraId="0AAA3651" w14:textId="77777777" w:rsidR="00512F0E" w:rsidRPr="00512F0E" w:rsidRDefault="00512F0E" w:rsidP="00512F0E">
      <w:pPr>
        <w:spacing w:after="60" w:line="240" w:lineRule="auto"/>
        <w:rPr>
          <w:bCs/>
          <w:sz w:val="21"/>
          <w:szCs w:val="21"/>
        </w:rPr>
      </w:pPr>
      <w:r w:rsidRPr="00512F0E">
        <w:rPr>
          <w:bCs/>
          <w:szCs w:val="21"/>
          <w:lang w:val="es-UY" w:eastAsia="es-UY" w:bidi="es-UY"/>
        </w:rPr>
        <w:t>La operación había enfrentado acontecimientos adversos concretos: la gripe A H1N1 de 2009, el terremoto de Chile de 2010, la regionalización de Aeroparque y las cenizas del volcán Puyehue de 2011. A ellos se sumaban las dificultades para ampliar la presencia en Argentina y las tensiones del precio del combustible. El deterioro previsto para 2012, que en las discusiones de la época se situaba en torno a una pérdida de 20 millones de dólares, debía analizarse dentro de esa secuencia. Una necesidad de financiamiento exigía evaluar las alternativas disponibles antes de convertir el cierre en una decisión irreversible.</w:t>
      </w:r>
    </w:p>
    <w:p w14:paraId="3EF27C78"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El financiamiento del ING y la intervención de Moreira</w:t>
      </w:r>
    </w:p>
    <w:p w14:paraId="779DE686"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En 2012, Danilo Astori era vicepresidente de la República. El ministro de Economía y Finanzas era Fernando Lorenzo y el ministro de Transporte y Obras Públicas era Enrique Pintado. La precisión importa porque </w:t>
      </w:r>
      <w:proofErr w:type="spellStart"/>
      <w:r w:rsidRPr="00512F0E">
        <w:rPr>
          <w:bCs/>
          <w:szCs w:val="21"/>
          <w:lang w:val="es-UY" w:eastAsia="es-UY" w:bidi="es-UY"/>
        </w:rPr>
        <w:t>Campiani</w:t>
      </w:r>
      <w:proofErr w:type="spellEnd"/>
      <w:r w:rsidRPr="00512F0E">
        <w:rPr>
          <w:bCs/>
          <w:szCs w:val="21"/>
          <w:lang w:val="es-UY" w:eastAsia="es-UY" w:bidi="es-UY"/>
        </w:rPr>
        <w:t xml:space="preserve"> acudió a Astori para intentar que la comparecencia parlamentaria de Pintado se postergara mientras culminaba una negociación financiera que, según su relato recogido en el libro, permitiría obtener 30 millones de dólares del ING. La operación estaba vinculada a los ingresos de </w:t>
      </w:r>
      <w:proofErr w:type="spellStart"/>
      <w:r w:rsidRPr="00512F0E">
        <w:rPr>
          <w:bCs/>
          <w:szCs w:val="21"/>
          <w:lang w:val="es-UY" w:eastAsia="es-UY" w:bidi="es-UY"/>
        </w:rPr>
        <w:t>Pluna</w:t>
      </w:r>
      <w:proofErr w:type="spellEnd"/>
      <w:r w:rsidRPr="00512F0E">
        <w:rPr>
          <w:bCs/>
          <w:szCs w:val="21"/>
          <w:lang w:val="es-UY" w:eastAsia="es-UY" w:bidi="es-UY"/>
        </w:rPr>
        <w:t xml:space="preserve"> en Brasil. No se trataba de los 250 millones de aporte económico al país ni de una ganancia futura, sino de liquidez para atravesar una situación crítica. [1]</w:t>
      </w:r>
    </w:p>
    <w:p w14:paraId="7FA1A833"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libro relata que </w:t>
      </w:r>
      <w:proofErr w:type="spellStart"/>
      <w:r w:rsidRPr="00512F0E">
        <w:rPr>
          <w:bCs/>
          <w:szCs w:val="21"/>
          <w:lang w:val="es-UY" w:eastAsia="es-UY" w:bidi="es-UY"/>
        </w:rPr>
        <w:t>Campiani</w:t>
      </w:r>
      <w:proofErr w:type="spellEnd"/>
      <w:r w:rsidRPr="00512F0E">
        <w:rPr>
          <w:bCs/>
          <w:szCs w:val="21"/>
          <w:lang w:val="es-UY" w:eastAsia="es-UY" w:bidi="es-UY"/>
        </w:rPr>
        <w:t xml:space="preserve"> pidió una postergación de aproximadamente un mes y que </w:t>
      </w:r>
      <w:proofErr w:type="spellStart"/>
      <w:r w:rsidRPr="00512F0E">
        <w:rPr>
          <w:bCs/>
          <w:szCs w:val="21"/>
          <w:lang w:val="es-UY" w:eastAsia="es-UY" w:bidi="es-UY"/>
        </w:rPr>
        <w:t>Astori</w:t>
      </w:r>
      <w:proofErr w:type="spellEnd"/>
      <w:r w:rsidRPr="00512F0E">
        <w:rPr>
          <w:bCs/>
          <w:szCs w:val="21"/>
          <w:lang w:val="es-UY" w:eastAsia="es-UY" w:bidi="es-UY"/>
        </w:rPr>
        <w:t xml:space="preserve"> consiguió tres semanas. La comparecencia de Pintado se celebró el 29 de mayo de 2012. Aunque en el relato político se la conoce como interpelación, se desarrolló en régimen de Comisión General. </w:t>
      </w:r>
      <w:r w:rsidRPr="00512F0E">
        <w:rPr>
          <w:bCs/>
          <w:szCs w:val="21"/>
          <w:lang w:val="es-UY" w:eastAsia="es-UY" w:bidi="es-UY"/>
        </w:rPr>
        <w:lastRenderedPageBreak/>
        <w:t>Carlos Moreira, senador del Partido Nacional, anunció la denuncia penal y esta fue presentada el 30 de mayo con la firma de otros senadores nacionalistas. Ese paso trasladó el debate sobre la gestión empresarial al terreno de las acusaciones por vaciamiento y estafa. [1]</w:t>
      </w:r>
    </w:p>
    <w:p w14:paraId="77BEA0BD"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Según Campiani, Matías Dor, del ING, le había comunicado que los fondos estarían disponibles en Nueva York el 6 de junio. Después de la denuncia, el banco exigió una señal del gobierno uruguayo. </w:t>
      </w:r>
      <w:proofErr w:type="spellStart"/>
      <w:r w:rsidRPr="00512F0E">
        <w:rPr>
          <w:bCs/>
          <w:szCs w:val="21"/>
          <w:lang w:val="es-UY" w:eastAsia="es-UY" w:bidi="es-UY"/>
        </w:rPr>
        <w:t>Campiani</w:t>
      </w:r>
      <w:proofErr w:type="spellEnd"/>
      <w:r w:rsidRPr="00512F0E">
        <w:rPr>
          <w:bCs/>
          <w:szCs w:val="21"/>
          <w:lang w:val="es-UY" w:eastAsia="es-UY" w:bidi="es-UY"/>
        </w:rPr>
        <w:t xml:space="preserve"> sostuvo que pidió a Lorenzo una llamada que diera esa señal y que el ministro se negó. Esta reconstrucción aparece en el libro y debe leerse junto con el análisis posterior del CIADI sobre la pérdida del financiamiento a causa de la oposición pública del Estado. La secuencia permite cuestionar la versión de una empresa que cayó exclusivamente por su gestión privada: una alternativa de liquidez quedó comprometida en medio de la ofensiva política. [1, 2]</w:t>
      </w:r>
    </w:p>
    <w:p w14:paraId="6729685F" w14:textId="77777777" w:rsidR="00512F0E" w:rsidRPr="00512F0E" w:rsidRDefault="00512F0E" w:rsidP="00512F0E">
      <w:pPr>
        <w:spacing w:after="60" w:line="240" w:lineRule="auto"/>
        <w:rPr>
          <w:bCs/>
          <w:sz w:val="21"/>
          <w:szCs w:val="21"/>
        </w:rPr>
      </w:pPr>
      <w:r w:rsidRPr="00512F0E">
        <w:rPr>
          <w:bCs/>
          <w:szCs w:val="21"/>
          <w:lang w:val="es-UY" w:eastAsia="es-UY" w:bidi="es-UY"/>
        </w:rPr>
        <w:t>La actuación de Moreira debe formar parte de la explicación del desenlace. Este estudio interpreta la denuncia como una maniobra política que contribuyó a desacreditar a los administradores privados y a cerrarles posibilidades de financiamiento. La crítica no se agota en el derecho de un senador a denunciar. Se dirige al fundamento de las acusaciones y al efecto que tuvieron sobre una empresa cuya continuidad estaba en discusión. Quienes instalaron públicamente la imagen del vaciamiento y la estafa deben responder por los documentos con los que construyeron esa imagen y por las objeciones que la investigación periodística planteó desde 2014.</w:t>
      </w:r>
    </w:p>
    <w:p w14:paraId="3A95EC23" w14:textId="77777777" w:rsidR="00512F0E" w:rsidRPr="00512F0E" w:rsidRDefault="00512F0E" w:rsidP="00512F0E">
      <w:pPr>
        <w:spacing w:before="160" w:after="80" w:line="240" w:lineRule="auto"/>
        <w:rPr>
          <w:bCs/>
          <w:sz w:val="21"/>
          <w:szCs w:val="21"/>
        </w:rPr>
      </w:pPr>
      <w:proofErr w:type="spellStart"/>
      <w:r w:rsidRPr="00512F0E">
        <w:rPr>
          <w:b/>
          <w:bCs/>
          <w:sz w:val="24"/>
          <w:szCs w:val="21"/>
          <w:lang w:val="es-UY" w:eastAsia="es-UY" w:bidi="es-UY"/>
        </w:rPr>
        <w:t>Aerovip</w:t>
      </w:r>
      <w:proofErr w:type="spellEnd"/>
      <w:r w:rsidRPr="00512F0E">
        <w:rPr>
          <w:b/>
          <w:bCs/>
          <w:sz w:val="24"/>
          <w:szCs w:val="21"/>
          <w:lang w:val="es-UY" w:eastAsia="es-UY" w:bidi="es-UY"/>
        </w:rPr>
        <w:t xml:space="preserve"> y el resultado que contradice el relato del vaciamiento</w:t>
      </w:r>
    </w:p>
    <w:p w14:paraId="2490DC93"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La operación con </w:t>
      </w:r>
      <w:proofErr w:type="spellStart"/>
      <w:r w:rsidRPr="00512F0E">
        <w:rPr>
          <w:bCs/>
          <w:szCs w:val="21"/>
          <w:lang w:val="es-UY" w:eastAsia="es-UY" w:bidi="es-UY"/>
        </w:rPr>
        <w:t>Aerovip</w:t>
      </w:r>
      <w:proofErr w:type="spellEnd"/>
      <w:r w:rsidRPr="00512F0E">
        <w:rPr>
          <w:bCs/>
          <w:szCs w:val="21"/>
          <w:lang w:val="es-UY" w:eastAsia="es-UY" w:bidi="es-UY"/>
        </w:rPr>
        <w:t xml:space="preserve"> fue utilizada para presentar la gestión de </w:t>
      </w:r>
      <w:proofErr w:type="spellStart"/>
      <w:r w:rsidRPr="00512F0E">
        <w:rPr>
          <w:bCs/>
          <w:szCs w:val="21"/>
          <w:lang w:val="es-UY" w:eastAsia="es-UY" w:bidi="es-UY"/>
        </w:rPr>
        <w:t>Campiani</w:t>
      </w:r>
      <w:proofErr w:type="spellEnd"/>
      <w:r w:rsidRPr="00512F0E">
        <w:rPr>
          <w:bCs/>
          <w:szCs w:val="21"/>
          <w:lang w:val="es-UY" w:eastAsia="es-UY" w:bidi="es-UY"/>
        </w:rPr>
        <w:t xml:space="preserve"> como un entramado de negocios perjudiciales para </w:t>
      </w:r>
      <w:proofErr w:type="spellStart"/>
      <w:r w:rsidRPr="00512F0E">
        <w:rPr>
          <w:bCs/>
          <w:szCs w:val="21"/>
          <w:lang w:val="es-UY" w:eastAsia="es-UY" w:bidi="es-UY"/>
        </w:rPr>
        <w:t>Pluna</w:t>
      </w:r>
      <w:proofErr w:type="spellEnd"/>
      <w:r w:rsidRPr="00512F0E">
        <w:rPr>
          <w:bCs/>
          <w:szCs w:val="21"/>
          <w:lang w:val="es-UY" w:eastAsia="es-UY" w:bidi="es-UY"/>
        </w:rPr>
        <w:t>. El libro reconstruye una finalidad empresarial concreta: obtener una vía de acceso al mercado argentino en un contexto de restricciones para conseguir nuevos permisos. La expansión hacia ciudades del interior de Argentina era importante para equilibrar la red con los destinos brasileños y sostener las conexiones a través de Montevideo. La evaluación de la operación requiere entender ese objetivo y revisar sus cuentas. [1]</w:t>
      </w:r>
    </w:p>
    <w:p w14:paraId="646AAF6B"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En el capítulo dedicado a </w:t>
      </w:r>
      <w:proofErr w:type="spellStart"/>
      <w:r w:rsidRPr="00512F0E">
        <w:rPr>
          <w:bCs/>
          <w:szCs w:val="21"/>
          <w:lang w:val="es-UY" w:eastAsia="es-UY" w:bidi="es-UY"/>
        </w:rPr>
        <w:t>Aerovip</w:t>
      </w:r>
      <w:proofErr w:type="spellEnd"/>
      <w:r w:rsidRPr="00512F0E">
        <w:rPr>
          <w:bCs/>
          <w:szCs w:val="21"/>
          <w:lang w:val="es-UY" w:eastAsia="es-UY" w:bidi="es-UY"/>
        </w:rPr>
        <w:t xml:space="preserve">, Herrera recoge un informe de Ricardo Pascale de 2011 que, a partir de la información contable presentada, establecía un resultado positivo de 1.921.644 dólares. El análisis se apoyaba en estados contables y documentación examinada por KPMG. El libro incorpora también la actuación de los controles vinculados al accionista estatal. Esos elementos deben ocupar el lugar que les corresponde en el estudio, porque contradicen la afirmación genérica de que </w:t>
      </w:r>
      <w:proofErr w:type="spellStart"/>
      <w:r w:rsidRPr="00512F0E">
        <w:rPr>
          <w:bCs/>
          <w:szCs w:val="21"/>
          <w:lang w:val="es-UY" w:eastAsia="es-UY" w:bidi="es-UY"/>
        </w:rPr>
        <w:t>Aerovip</w:t>
      </w:r>
      <w:proofErr w:type="spellEnd"/>
      <w:r w:rsidRPr="00512F0E">
        <w:rPr>
          <w:bCs/>
          <w:szCs w:val="21"/>
          <w:lang w:val="es-UY" w:eastAsia="es-UY" w:bidi="es-UY"/>
        </w:rPr>
        <w:t xml:space="preserve"> fue simplemente un negocio ruinoso concebido para sacar dinero de </w:t>
      </w:r>
      <w:proofErr w:type="spellStart"/>
      <w:r w:rsidRPr="00512F0E">
        <w:rPr>
          <w:bCs/>
          <w:szCs w:val="21"/>
          <w:lang w:val="es-UY" w:eastAsia="es-UY" w:bidi="es-UY"/>
        </w:rPr>
        <w:t>Pluna</w:t>
      </w:r>
      <w:proofErr w:type="spellEnd"/>
      <w:r w:rsidRPr="00512F0E">
        <w:rPr>
          <w:bCs/>
          <w:szCs w:val="21"/>
          <w:lang w:val="es-UY" w:eastAsia="es-UY" w:bidi="es-UY"/>
        </w:rPr>
        <w:t>. [1]</w:t>
      </w:r>
    </w:p>
    <w:p w14:paraId="6BD888AA" w14:textId="77777777" w:rsidR="00512F0E" w:rsidRPr="00512F0E" w:rsidRDefault="00512F0E" w:rsidP="00512F0E">
      <w:pPr>
        <w:spacing w:after="60" w:line="240" w:lineRule="auto"/>
        <w:rPr>
          <w:bCs/>
          <w:sz w:val="21"/>
          <w:szCs w:val="21"/>
        </w:rPr>
      </w:pPr>
      <w:r w:rsidRPr="00512F0E">
        <w:rPr>
          <w:bCs/>
          <w:szCs w:val="21"/>
          <w:lang w:val="es-UY" w:eastAsia="es-UY" w:bidi="es-UY"/>
        </w:rPr>
        <w:t>El resultado contable expuesto en el libro es una ganancia de casi dos millones de dólares. Ese dato no puede diluirse detrás de expresiones vagas sobre operaciones sospechosas. Quien sostenga que existió un perjuicio por esa vía debe confrontar el informe y explicar qué partidas objeta. La crítica a las dificultades estratégicas del proyecto argentino no equivale a demostrar una extracción fraudulenta de recursos.</w:t>
      </w:r>
    </w:p>
    <w:p w14:paraId="6CFFD811"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La operación </w:t>
      </w:r>
      <w:proofErr w:type="spellStart"/>
      <w:r w:rsidRPr="00512F0E">
        <w:rPr>
          <w:bCs/>
          <w:szCs w:val="21"/>
          <w:lang w:val="es-UY" w:eastAsia="es-UY" w:bidi="es-UY"/>
        </w:rPr>
        <w:t>Aerovip</w:t>
      </w:r>
      <w:proofErr w:type="spellEnd"/>
      <w:r w:rsidRPr="00512F0E">
        <w:rPr>
          <w:bCs/>
          <w:szCs w:val="21"/>
          <w:lang w:val="es-UY" w:eastAsia="es-UY" w:bidi="es-UY"/>
        </w:rPr>
        <w:t xml:space="preserve"> fue un acierto empresarial y produjo un resultado positivo de casi dos millones de dólares. La documentación expuesta en el libro contradice la versión que la presentó como una operación ruinosa o una “joda” de </w:t>
      </w:r>
      <w:proofErr w:type="spellStart"/>
      <w:r w:rsidRPr="00512F0E">
        <w:rPr>
          <w:bCs/>
          <w:szCs w:val="21"/>
          <w:lang w:val="es-UY" w:eastAsia="es-UY" w:bidi="es-UY"/>
        </w:rPr>
        <w:t>Campiani</w:t>
      </w:r>
      <w:proofErr w:type="spellEnd"/>
      <w:r w:rsidRPr="00512F0E">
        <w:rPr>
          <w:bCs/>
          <w:szCs w:val="21"/>
          <w:lang w:val="es-UY" w:eastAsia="es-UY" w:bidi="es-UY"/>
        </w:rPr>
        <w:t xml:space="preserve"> y sus socios. Su finalidad era abrir una vía de acceso al mercado argentino, necesaria para desarrollar la red regional de </w:t>
      </w:r>
      <w:proofErr w:type="spellStart"/>
      <w:r w:rsidRPr="00512F0E">
        <w:rPr>
          <w:bCs/>
          <w:szCs w:val="21"/>
          <w:lang w:val="es-UY" w:eastAsia="es-UY" w:bidi="es-UY"/>
        </w:rPr>
        <w:t>Pluna</w:t>
      </w:r>
      <w:proofErr w:type="spellEnd"/>
      <w:r w:rsidRPr="00512F0E">
        <w:rPr>
          <w:bCs/>
          <w:szCs w:val="21"/>
          <w:lang w:val="es-UY" w:eastAsia="es-UY" w:bidi="es-UY"/>
        </w:rPr>
        <w:t>. El resultado contable debe estar en el centro del análisis de esa operación. [1]</w:t>
      </w:r>
    </w:p>
    <w:p w14:paraId="2E10FD30"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Los cheques de ANCAP y la acusación de estafa</w:t>
      </w:r>
    </w:p>
    <w:p w14:paraId="5CCDDB66"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La actuación de Raúl Sendic, entonces presidente de ANCAP, ocupa un lugar decisivo en esta controversia. En el apartado “El capricho de Sendic”, el libro reproduce el acta del directorio de </w:t>
      </w:r>
      <w:proofErr w:type="spellStart"/>
      <w:r w:rsidRPr="00512F0E">
        <w:rPr>
          <w:bCs/>
          <w:szCs w:val="21"/>
          <w:lang w:val="es-UY" w:eastAsia="es-UY" w:bidi="es-UY"/>
        </w:rPr>
        <w:t>Pluna</w:t>
      </w:r>
      <w:proofErr w:type="spellEnd"/>
      <w:r w:rsidRPr="00512F0E">
        <w:rPr>
          <w:bCs/>
          <w:szCs w:val="21"/>
          <w:lang w:val="es-UY" w:eastAsia="es-UY" w:bidi="es-UY"/>
        </w:rPr>
        <w:t xml:space="preserve"> del 25 de junio de 2012. Allí Pedro Apezteguía pidió anexar la carta que el ministro de Economía había enviado a ANCAP el 15 de junio: la deuda quedaría suspendida al 30 de junio, se devolverían los cheques diferidos y el Ministerio otorgaría una garantía de pago por intermedio de </w:t>
      </w:r>
      <w:proofErr w:type="spellStart"/>
      <w:r w:rsidRPr="00512F0E">
        <w:rPr>
          <w:bCs/>
          <w:szCs w:val="21"/>
          <w:lang w:val="es-UY" w:eastAsia="es-UY" w:bidi="es-UY"/>
        </w:rPr>
        <w:t>Pluna</w:t>
      </w:r>
      <w:proofErr w:type="spellEnd"/>
      <w:r w:rsidRPr="00512F0E">
        <w:rPr>
          <w:bCs/>
          <w:szCs w:val="21"/>
          <w:lang w:val="es-UY" w:eastAsia="es-UY" w:bidi="es-UY"/>
        </w:rPr>
        <w:t xml:space="preserve"> Ente </w:t>
      </w:r>
      <w:r w:rsidRPr="00512F0E">
        <w:rPr>
          <w:bCs/>
          <w:szCs w:val="21"/>
          <w:lang w:val="es-UY" w:eastAsia="es-UY" w:bidi="es-UY"/>
        </w:rPr>
        <w:lastRenderedPageBreak/>
        <w:t>Autónomo. El documento registra una salida para sustituir los cheques pendientes por una garantía estatal. [1]</w:t>
      </w:r>
    </w:p>
    <w:p w14:paraId="6066C466"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Herrera sostiene que Sendic desoyó esa salida y que, al vencer el primer cheque después de la retirada de </w:t>
      </w:r>
      <w:proofErr w:type="spellStart"/>
      <w:r w:rsidRPr="00512F0E">
        <w:rPr>
          <w:bCs/>
          <w:szCs w:val="21"/>
          <w:lang w:val="es-UY" w:eastAsia="es-UY" w:bidi="es-UY"/>
        </w:rPr>
        <w:t>Campiani</w:t>
      </w:r>
      <w:proofErr w:type="spellEnd"/>
      <w:r w:rsidRPr="00512F0E">
        <w:rPr>
          <w:bCs/>
          <w:szCs w:val="21"/>
          <w:lang w:val="es-UY" w:eastAsia="es-UY" w:bidi="es-UY"/>
        </w:rPr>
        <w:t xml:space="preserve"> y sus socios, ANCAP lo presentó al cobro y utilizó su rechazo para denunciar penalmente a quienes ya no administraban </w:t>
      </w:r>
      <w:proofErr w:type="spellStart"/>
      <w:r w:rsidRPr="00512F0E">
        <w:rPr>
          <w:bCs/>
          <w:szCs w:val="21"/>
          <w:lang w:val="es-UY" w:eastAsia="es-UY" w:bidi="es-UY"/>
        </w:rPr>
        <w:t>Pluna</w:t>
      </w:r>
      <w:proofErr w:type="spellEnd"/>
      <w:r w:rsidRPr="00512F0E">
        <w:rPr>
          <w:bCs/>
          <w:szCs w:val="21"/>
          <w:lang w:val="es-UY" w:eastAsia="es-UY" w:bidi="es-UY"/>
        </w:rPr>
        <w:t xml:space="preserve">. El autor identifica en esa secuencia una maniobra para trasladarles la responsabilidad por el impago posterior a su salida. La fecha de cada actuación resulta decisiva: </w:t>
      </w:r>
      <w:proofErr w:type="spellStart"/>
      <w:r w:rsidRPr="00512F0E">
        <w:rPr>
          <w:bCs/>
          <w:szCs w:val="21"/>
          <w:lang w:val="es-UY" w:eastAsia="es-UY" w:bidi="es-UY"/>
        </w:rPr>
        <w:t>Leadgate</w:t>
      </w:r>
      <w:proofErr w:type="spellEnd"/>
      <w:r w:rsidRPr="00512F0E">
        <w:rPr>
          <w:bCs/>
          <w:szCs w:val="21"/>
          <w:lang w:val="es-UY" w:eastAsia="es-UY" w:bidi="es-UY"/>
        </w:rPr>
        <w:t xml:space="preserve"> había dejado la compañía el 15 de junio y el Estado había asumido su conducción. [1, 12]</w:t>
      </w:r>
    </w:p>
    <w:p w14:paraId="61896FEB"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libro recoge además que ANCAP negó aquel acuerdo en un comunicado del 6 de febrero de 2013, pese al contenido del acta que el PDA y El País habían publicado. La contradicción exige una respuesta: ¿por qué el directorio de </w:t>
      </w:r>
      <w:proofErr w:type="spellStart"/>
      <w:r w:rsidRPr="00512F0E">
        <w:rPr>
          <w:bCs/>
          <w:szCs w:val="21"/>
          <w:lang w:val="es-UY" w:eastAsia="es-UY" w:bidi="es-UY"/>
        </w:rPr>
        <w:t>Pluna</w:t>
      </w:r>
      <w:proofErr w:type="spellEnd"/>
      <w:r w:rsidRPr="00512F0E">
        <w:rPr>
          <w:bCs/>
          <w:szCs w:val="21"/>
          <w:lang w:val="es-UY" w:eastAsia="es-UY" w:bidi="es-UY"/>
        </w:rPr>
        <w:t xml:space="preserve"> dejó constancia de la devolución de los cheques y de la garantía estatal y ANCAP negó después que esa solución hubiera existido? La documentación permite establecer la contradicción; la denuncia de Herrera señala sus consecuencias para </w:t>
      </w:r>
      <w:proofErr w:type="spellStart"/>
      <w:r w:rsidRPr="00512F0E">
        <w:rPr>
          <w:bCs/>
          <w:szCs w:val="21"/>
          <w:lang w:val="es-UY" w:eastAsia="es-UY" w:bidi="es-UY"/>
        </w:rPr>
        <w:t>Campiani</w:t>
      </w:r>
      <w:proofErr w:type="spellEnd"/>
      <w:r w:rsidRPr="00512F0E">
        <w:rPr>
          <w:bCs/>
          <w:szCs w:val="21"/>
          <w:lang w:val="es-UY" w:eastAsia="es-UY" w:bidi="es-UY"/>
        </w:rPr>
        <w:t xml:space="preserve"> y sus socios. [1]</w:t>
      </w:r>
    </w:p>
    <w:p w14:paraId="709775AA"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La acusación de estafa se vinculó concretamente a los cheques de ANCAP. Esta controversia pertenece a la gestión de la aerolínea y es distinta de la operación de </w:t>
      </w:r>
      <w:proofErr w:type="spellStart"/>
      <w:r w:rsidRPr="00512F0E">
        <w:rPr>
          <w:bCs/>
          <w:szCs w:val="21"/>
          <w:lang w:val="es-UY" w:eastAsia="es-UY" w:bidi="es-UY"/>
        </w:rPr>
        <w:t>Aerovip</w:t>
      </w:r>
      <w:proofErr w:type="spellEnd"/>
      <w:r w:rsidRPr="00512F0E">
        <w:rPr>
          <w:bCs/>
          <w:szCs w:val="21"/>
          <w:lang w:val="es-UY" w:eastAsia="es-UY" w:bidi="es-UY"/>
        </w:rPr>
        <w:t xml:space="preserve"> y del aval posterior a Cosmo. El libro consigna que </w:t>
      </w:r>
      <w:proofErr w:type="spellStart"/>
      <w:r w:rsidRPr="00512F0E">
        <w:rPr>
          <w:bCs/>
          <w:szCs w:val="21"/>
          <w:lang w:val="es-UY" w:eastAsia="es-UY" w:bidi="es-UY"/>
        </w:rPr>
        <w:t>Pluna</w:t>
      </w:r>
      <w:proofErr w:type="spellEnd"/>
      <w:r w:rsidRPr="00512F0E">
        <w:rPr>
          <w:bCs/>
          <w:szCs w:val="21"/>
          <w:lang w:val="es-UY" w:eastAsia="es-UY" w:bidi="es-UY"/>
        </w:rPr>
        <w:t xml:space="preserve"> había librado 222 cheques, de los cuales 201 habían sido honrados y 21 todavía no habían vencido cuando los accionistas privados se retiraron el 15 de junio de 2012. [1]</w:t>
      </w:r>
    </w:p>
    <w:p w14:paraId="7D89FF27"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La investigación señala que funcionarios de ANCAP recibían los cheques diferidos y entregaban recibos oficiales. Por tanto, la forma en que se instrumentó y aceptó el crédito comercial es parte esencial de la reconstrucción. Al momento de la salida de </w:t>
      </w:r>
      <w:proofErr w:type="spellStart"/>
      <w:r w:rsidRPr="00512F0E">
        <w:rPr>
          <w:bCs/>
          <w:szCs w:val="21"/>
          <w:lang w:val="es-UY" w:eastAsia="es-UY" w:bidi="es-UY"/>
        </w:rPr>
        <w:t>Campiani</w:t>
      </w:r>
      <w:proofErr w:type="spellEnd"/>
      <w:r w:rsidRPr="00512F0E">
        <w:rPr>
          <w:bCs/>
          <w:szCs w:val="21"/>
          <w:lang w:val="es-UY" w:eastAsia="es-UY" w:bidi="es-UY"/>
        </w:rPr>
        <w:t>, los 21 documentos pendientes que identifica el libro aún no habían vencido. Presentarlos sin esa fecha como prueba autosuficiente de una estafa elimina un dato decisivo de la cronología.</w:t>
      </w:r>
    </w:p>
    <w:p w14:paraId="320E79DF" w14:textId="77777777" w:rsidR="00512F0E" w:rsidRPr="00512F0E" w:rsidRDefault="00512F0E" w:rsidP="00512F0E">
      <w:pPr>
        <w:spacing w:after="60" w:line="240" w:lineRule="auto"/>
        <w:rPr>
          <w:bCs/>
          <w:sz w:val="21"/>
          <w:szCs w:val="21"/>
        </w:rPr>
      </w:pPr>
      <w:r w:rsidRPr="00512F0E">
        <w:rPr>
          <w:bCs/>
          <w:szCs w:val="21"/>
          <w:lang w:val="es-UY" w:eastAsia="es-UY" w:bidi="es-UY"/>
        </w:rPr>
        <w:t>El cierre se produjo después de que el Estado recuperara el control de la compañía. La investigación debe mantener visible esa sucesión para establecer quién administraba la empresa cuando vencieron las obligaciones y qué efectos tuvieron las decisiones estatales sobre su capacidad de atenderlas. La entrega de un cheque, su vencimiento, su eventual impago y la existencia de un engaño son cuestiones diferentes. Un relato que las comprime en una sola acusación puede ser eficaz políticamente, pero no explica lo ocurrido.</w:t>
      </w:r>
    </w:p>
    <w:p w14:paraId="70663FD8" w14:textId="77777777" w:rsidR="00512F0E" w:rsidRPr="00512F0E" w:rsidRDefault="00512F0E" w:rsidP="00512F0E">
      <w:pPr>
        <w:spacing w:after="60" w:line="240" w:lineRule="auto"/>
        <w:rPr>
          <w:bCs/>
          <w:sz w:val="21"/>
          <w:szCs w:val="21"/>
        </w:rPr>
      </w:pPr>
      <w:r w:rsidRPr="00512F0E">
        <w:rPr>
          <w:bCs/>
          <w:szCs w:val="21"/>
          <w:lang w:val="es-UY" w:eastAsia="es-UY" w:bidi="es-UY"/>
        </w:rPr>
        <w:t>En la entrevista de enero de 2026, Jorge Barrera sostuvo que los acreedores habían cobrado y que la situación de los cheques, junto con las demás actuaciones del expediente, sustentaba el pedido de sobreseimiento. Después de tantos años, el Estado debe resolver la causa mediante decisiones fundadas y dejar de mantener a los anteriores administradores bajo el peso indefinido de una acusación pública. [3]</w:t>
      </w:r>
    </w:p>
    <w:p w14:paraId="1DAC2786"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La entrega de las acciones y el cierre</w:t>
      </w:r>
    </w:p>
    <w:p w14:paraId="70750270"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15 de junio de 2012 se produjo la salida de los accionistas privados y la devolución de su participación del 75 por ciento. El gobierno pasó a controlar una empresa que seguía teniendo aviones, personal, rutas y obligaciones. El 5 de julio se cerró la operación. Entre esas dos fechas hay una responsabilidad de conducción que debe atribuirse al Poder Ejecutivo. La salida de </w:t>
      </w:r>
      <w:proofErr w:type="spellStart"/>
      <w:r w:rsidRPr="00512F0E">
        <w:rPr>
          <w:bCs/>
          <w:szCs w:val="21"/>
          <w:lang w:val="es-UY" w:eastAsia="es-UY" w:bidi="es-UY"/>
        </w:rPr>
        <w:t>Campiani</w:t>
      </w:r>
      <w:proofErr w:type="spellEnd"/>
      <w:r w:rsidRPr="00512F0E">
        <w:rPr>
          <w:bCs/>
          <w:szCs w:val="21"/>
          <w:lang w:val="es-UY" w:eastAsia="es-UY" w:bidi="es-UY"/>
        </w:rPr>
        <w:t xml:space="preserve"> no produjo por sí misma la desaparición de </w:t>
      </w:r>
      <w:proofErr w:type="spellStart"/>
      <w:r w:rsidRPr="00512F0E">
        <w:rPr>
          <w:bCs/>
          <w:szCs w:val="21"/>
          <w:lang w:val="es-UY" w:eastAsia="es-UY" w:bidi="es-UY"/>
        </w:rPr>
        <w:t>Pluna</w:t>
      </w:r>
      <w:proofErr w:type="spellEnd"/>
      <w:r w:rsidRPr="00512F0E">
        <w:rPr>
          <w:bCs/>
          <w:szCs w:val="21"/>
          <w:lang w:val="es-UY" w:eastAsia="es-UY" w:bidi="es-UY"/>
        </w:rPr>
        <w:t>: el cierre fue una decisión posterior de quienes habían asumido su control. [1]</w:t>
      </w:r>
    </w:p>
    <w:p w14:paraId="53EB7CD2" w14:textId="77777777" w:rsidR="00512F0E" w:rsidRPr="00512F0E" w:rsidRDefault="00512F0E" w:rsidP="00512F0E">
      <w:pPr>
        <w:spacing w:after="60" w:line="240" w:lineRule="auto"/>
        <w:rPr>
          <w:bCs/>
          <w:sz w:val="21"/>
          <w:szCs w:val="21"/>
        </w:rPr>
      </w:pPr>
      <w:proofErr w:type="spellStart"/>
      <w:r w:rsidRPr="00512F0E">
        <w:rPr>
          <w:bCs/>
          <w:szCs w:val="21"/>
          <w:lang w:val="es-UY" w:eastAsia="es-UY" w:bidi="es-UY"/>
        </w:rPr>
        <w:t>Campiani</w:t>
      </w:r>
      <w:proofErr w:type="spellEnd"/>
      <w:r w:rsidRPr="00512F0E">
        <w:rPr>
          <w:bCs/>
          <w:szCs w:val="21"/>
          <w:lang w:val="es-UY" w:eastAsia="es-UY" w:bidi="es-UY"/>
        </w:rPr>
        <w:t xml:space="preserve"> le relató personalmente a Herrera que Fernando Lorenzo, en su despacho, le exigió la devolución de las acciones con esta amenaza: “o </w:t>
      </w:r>
      <w:proofErr w:type="spellStart"/>
      <w:r w:rsidRPr="00512F0E">
        <w:rPr>
          <w:bCs/>
          <w:szCs w:val="21"/>
          <w:lang w:val="es-UY" w:eastAsia="es-UY" w:bidi="es-UY"/>
        </w:rPr>
        <w:t>devolvés</w:t>
      </w:r>
      <w:proofErr w:type="spellEnd"/>
      <w:r w:rsidRPr="00512F0E">
        <w:rPr>
          <w:bCs/>
          <w:szCs w:val="21"/>
          <w:lang w:val="es-UY" w:eastAsia="es-UY" w:bidi="es-UY"/>
        </w:rPr>
        <w:t xml:space="preserve"> las acciones o salís del país hecho tiritas”. La atribución a Lorenzo procede del testimonio recibido directamente por el autor de </w:t>
      </w:r>
      <w:proofErr w:type="spellStart"/>
      <w:r w:rsidRPr="00512F0E">
        <w:rPr>
          <w:bCs/>
          <w:szCs w:val="21"/>
          <w:lang w:val="es-UY" w:eastAsia="es-UY" w:bidi="es-UY"/>
        </w:rPr>
        <w:t>Campiani</w:t>
      </w:r>
      <w:proofErr w:type="spellEnd"/>
      <w:r w:rsidRPr="00512F0E">
        <w:rPr>
          <w:bCs/>
          <w:szCs w:val="21"/>
          <w:lang w:val="es-UY" w:eastAsia="es-UY" w:bidi="es-UY"/>
        </w:rPr>
        <w:t xml:space="preserve">. Herrera no incluyó esa versión en el libro de 2014, pero la difundió posteriormente en el </w:t>
      </w:r>
      <w:r w:rsidRPr="00512F0E">
        <w:rPr>
          <w:bCs/>
          <w:szCs w:val="21"/>
          <w:lang w:val="es-UY" w:eastAsia="es-UY" w:bidi="es-UY"/>
        </w:rPr>
        <w:lastRenderedPageBreak/>
        <w:t>PDA y la reiteró públicamente en febrero de 2024. Para el autor, se trató de una presión mafiosa para obtener el 75 por ciento del paquete accionario. [12, 13]</w:t>
      </w:r>
    </w:p>
    <w:p w14:paraId="0C206121" w14:textId="77777777" w:rsidR="00512F0E" w:rsidRPr="00512F0E" w:rsidRDefault="00512F0E" w:rsidP="00512F0E">
      <w:pPr>
        <w:spacing w:after="60" w:line="240" w:lineRule="auto"/>
        <w:rPr>
          <w:bCs/>
          <w:sz w:val="21"/>
          <w:szCs w:val="21"/>
        </w:rPr>
      </w:pPr>
      <w:r w:rsidRPr="00512F0E">
        <w:rPr>
          <w:bCs/>
          <w:szCs w:val="21"/>
          <w:lang w:val="es-UY" w:eastAsia="es-UY" w:bidi="es-UY"/>
        </w:rPr>
        <w:t>La periodista Natalia Roba retomó el episodio en El Observador el 14 de febrero de 2024. Informó que los árbitros habían dedicado varias sesiones a recoger testimonios y examinar la existencia de la advertencia difundida por el PDA. Según esa nota, el tribunal concluyó que la advertencia existió y la tuvo en cuenta. La publicación da cuenta de la relevancia que alcanzó el episodio denunciado por Herrera en el examen internacional de la actuación del gobierno. [14]</w:t>
      </w:r>
    </w:p>
    <w:p w14:paraId="513AE47D" w14:textId="77777777" w:rsidR="00512F0E" w:rsidRPr="00512F0E" w:rsidRDefault="00512F0E" w:rsidP="00512F0E">
      <w:pPr>
        <w:spacing w:after="60" w:line="240" w:lineRule="auto"/>
        <w:rPr>
          <w:bCs/>
          <w:sz w:val="21"/>
          <w:szCs w:val="21"/>
        </w:rPr>
      </w:pPr>
      <w:r w:rsidRPr="00512F0E">
        <w:rPr>
          <w:bCs/>
          <w:szCs w:val="21"/>
          <w:lang w:val="es-UY" w:eastAsia="es-UY" w:bidi="es-UY"/>
        </w:rPr>
        <w:t>Mujica, Lorenzo y Pintado deben responder históricamente por la decisión de cerrar y por las alternativas que descartaron. El problema de liquidez de una aerolínea exige comprender su red y el valor de mantenerla en funcionamiento. La interrupción destruye conexiones, confianza comercial y una organización que no se recuperan simplemente anunciando que alguien utilizará después los mismos aviones.</w:t>
      </w:r>
    </w:p>
    <w:p w14:paraId="5B5C5D69"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La primera subasta y las preguntas que Pintado no quiso responder</w:t>
      </w:r>
    </w:p>
    <w:p w14:paraId="0178625C"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Herrera no acostumbraba asistir a todas las conferencias de prensa. El 12 de septiembre de 2012 hizo una excepción: la suspensión de la subasta de los aviones exigía explicaciones. Llegó temprano a la Torre Ejecutiva, se sentó en primera fila y confrontó directamente a Pintado. Le planteó que el problema era la ausencia de oferentes efectivos y le preguntó qué permitía asegurar que aparecerían para el 1 de octubre. Según recuerda, al salir, decenas de funcionarios de </w:t>
      </w:r>
      <w:proofErr w:type="spellStart"/>
      <w:r w:rsidRPr="00512F0E">
        <w:rPr>
          <w:bCs/>
          <w:szCs w:val="21"/>
          <w:lang w:val="es-UY" w:eastAsia="es-UY" w:bidi="es-UY"/>
        </w:rPr>
        <w:t>Pluna</w:t>
      </w:r>
      <w:proofErr w:type="spellEnd"/>
      <w:r w:rsidRPr="00512F0E">
        <w:rPr>
          <w:bCs/>
          <w:szCs w:val="21"/>
          <w:lang w:val="es-UY" w:eastAsia="es-UY" w:bidi="es-UY"/>
        </w:rPr>
        <w:t xml:space="preserve"> lo abordaron en la Plaza Independencia para felicitarlo por haber formulado esas preguntas. Habían presenciado el intercambio y compartían la necesidad de obtener respuestas. [1, 12]</w:t>
      </w:r>
    </w:p>
    <w:p w14:paraId="02621567"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La crónica publicada por 180, vinculada a No toquen nada, registró el intercambio entre Herrera y Pintado sobre la falta de oferentes. Esa cobertura contemporánea deja constancia de que el cuestionamiento se formuló antes del remate de octubre. Herrera recuerda también que </w:t>
      </w:r>
      <w:proofErr w:type="spellStart"/>
      <w:r w:rsidRPr="00512F0E">
        <w:rPr>
          <w:bCs/>
          <w:szCs w:val="21"/>
          <w:lang w:val="es-UY" w:eastAsia="es-UY" w:bidi="es-UY"/>
        </w:rPr>
        <w:t>Telenoche</w:t>
      </w:r>
      <w:proofErr w:type="spellEnd"/>
      <w:r w:rsidRPr="00512F0E">
        <w:rPr>
          <w:bCs/>
          <w:szCs w:val="21"/>
          <w:lang w:val="es-UY" w:eastAsia="es-UY" w:bidi="es-UY"/>
        </w:rPr>
        <w:t xml:space="preserve"> había grabado el diálogo completo y cuestiona que el informativo omitiera difundir esa confrontación. Las preguntas estaban hechas, el intercambio tenía testigos y había sido registrado. [12, 15]</w:t>
      </w:r>
    </w:p>
    <w:p w14:paraId="07DBC9D1" w14:textId="77777777" w:rsidR="00512F0E" w:rsidRPr="00512F0E" w:rsidRDefault="00512F0E" w:rsidP="00512F0E">
      <w:pPr>
        <w:spacing w:after="60" w:line="240" w:lineRule="auto"/>
        <w:rPr>
          <w:bCs/>
          <w:sz w:val="21"/>
          <w:szCs w:val="21"/>
        </w:rPr>
      </w:pPr>
      <w:r w:rsidRPr="00512F0E">
        <w:rPr>
          <w:bCs/>
          <w:szCs w:val="21"/>
          <w:lang w:val="es-UY" w:eastAsia="es-UY" w:bidi="es-UY"/>
        </w:rPr>
        <w:t>El 12 de septiembre de 2012 se suspendió la subasta prevista para los siete CRJ900 de Bombardier. En la conferencia de prensa de la Torre Ejecutiva, Pintado explicó que había habido siete interesados, cuatro de los cuales habían pagado los pliegos. Defendió que cuatro eran pocos para seguir adelante. Herrera le planteó que la suspensión se debía a que no había oferentes efectivos y le preguntó qué aseguraba que aparecerían para la nueva fecha del 1 de octubre. La distinción entre adquirir un pliego y presentar una oferta era el centro del intercambio. [1, 4]</w:t>
      </w:r>
    </w:p>
    <w:p w14:paraId="15DA1B26" w14:textId="77777777" w:rsidR="00512F0E" w:rsidRPr="00512F0E" w:rsidRDefault="00512F0E" w:rsidP="00512F0E">
      <w:pPr>
        <w:spacing w:after="60" w:line="240" w:lineRule="auto"/>
        <w:rPr>
          <w:bCs/>
          <w:sz w:val="21"/>
          <w:szCs w:val="21"/>
        </w:rPr>
      </w:pPr>
      <w:r w:rsidRPr="00512F0E">
        <w:rPr>
          <w:bCs/>
          <w:szCs w:val="21"/>
          <w:lang w:val="es-UY" w:eastAsia="es-UY" w:bidi="es-UY"/>
        </w:rPr>
        <w:t>El diálogo terminó con una respuesta que quedó registrada en el libro y en el PDA. Ante las preguntas sobre el asesoramiento especializado en transporte aéreo, el ministro afirmó: “Usted me hace preguntas y yo le respondo las que quiero”. El título publicado en el portal utiliza el verbo “contesto”. En ambos casos, el sentido de la respuesta expresa la actitud del ministro frente a un cuestionamiento concreto sobre una operación de enorme importancia para el país.</w:t>
      </w:r>
    </w:p>
    <w:p w14:paraId="6B503F31" w14:textId="77777777" w:rsidR="00512F0E" w:rsidRPr="00512F0E" w:rsidRDefault="00512F0E" w:rsidP="00512F0E">
      <w:pPr>
        <w:spacing w:after="60" w:line="240" w:lineRule="auto"/>
        <w:rPr>
          <w:bCs/>
          <w:sz w:val="21"/>
          <w:szCs w:val="21"/>
        </w:rPr>
      </w:pPr>
      <w:r w:rsidRPr="00512F0E">
        <w:rPr>
          <w:bCs/>
          <w:szCs w:val="21"/>
          <w:lang w:val="es-UY" w:eastAsia="es-UY" w:bidi="es-UY"/>
        </w:rPr>
        <w:t>Herrera había advertido públicamente el problema antes del remate del Prado. Esa advertencia impide presentar su crítica posterior como una reacción oportunista al fracaso de Cosmo. El PDA había preguntado por la existencia de compradores reales y por la capacidad del gobierno para encontrarlos. La aparición de un único oferente en octubre, cuya operación no culminó en la compra anunciada, convirtió aquella pregunta en un antecedente esencial.</w:t>
      </w:r>
    </w:p>
    <w:p w14:paraId="009518FD" w14:textId="77777777" w:rsidR="00512F0E" w:rsidRPr="00512F0E" w:rsidRDefault="00512F0E" w:rsidP="00512F0E">
      <w:pPr>
        <w:spacing w:after="60" w:line="240" w:lineRule="auto"/>
        <w:rPr>
          <w:bCs/>
          <w:sz w:val="21"/>
          <w:szCs w:val="21"/>
        </w:rPr>
      </w:pPr>
    </w:p>
    <w:p w14:paraId="72EC61D2"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Este estudio sostiene que Pintado fue un protagonista de la preparación y la presentación pública de la parodia de subasta. Su responsabilidad merece un examen propio, con independencia de que no recibiera un procesamiento equivalente al de otros jerarcas. Era el ministro del sector y tuvo intervención directa en las explicaciones ofrecidas a la población. Una subasta fallida y una </w:t>
      </w:r>
      <w:r w:rsidRPr="00512F0E">
        <w:rPr>
          <w:bCs/>
          <w:szCs w:val="21"/>
          <w:lang w:val="es-UY" w:eastAsia="es-UY" w:bidi="es-UY"/>
        </w:rPr>
        <w:lastRenderedPageBreak/>
        <w:t>respuesta evasiva al periodismo no quedan explicadas porque otros funcionarios hayan concentrado la atención judicial.</w:t>
      </w:r>
    </w:p>
    <w:p w14:paraId="7171B32B"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Cosmo y el caballero de la derecha</w:t>
      </w:r>
    </w:p>
    <w:p w14:paraId="31F363FF" w14:textId="77777777" w:rsidR="00512F0E" w:rsidRPr="00512F0E" w:rsidRDefault="00512F0E" w:rsidP="00512F0E">
      <w:pPr>
        <w:spacing w:after="60" w:line="240" w:lineRule="auto"/>
        <w:rPr>
          <w:bCs/>
          <w:sz w:val="21"/>
          <w:szCs w:val="21"/>
        </w:rPr>
      </w:pPr>
      <w:r w:rsidRPr="00512F0E">
        <w:rPr>
          <w:bCs/>
          <w:szCs w:val="21"/>
          <w:lang w:val="es-UY" w:eastAsia="es-UY" w:bidi="es-UY"/>
        </w:rPr>
        <w:t>El 1 de octubre de 2012, en el Prado, Hernán Antonio Calvo Sánchez ofreció 137 millones de dólares en representación de Cosmo. El martillero lo identificó para el público como “el caballero de la derecha”. La escena permitió anunciar la venta del lote de siete aviones, aunque la operación no se consumó en los términos presentados. La cifra de la oferta y el anuncio político deben distinguirse del ingreso efectivo del dinero y del cumplimiento de las obligaciones del comprador. [1, 5]</w:t>
      </w:r>
    </w:p>
    <w:p w14:paraId="614FEC5A" w14:textId="77777777" w:rsidR="00512F0E" w:rsidRPr="00512F0E" w:rsidRDefault="00512F0E" w:rsidP="00512F0E">
      <w:pPr>
        <w:spacing w:after="60" w:line="240" w:lineRule="auto"/>
        <w:rPr>
          <w:bCs/>
          <w:sz w:val="21"/>
          <w:szCs w:val="21"/>
        </w:rPr>
      </w:pPr>
      <w:r w:rsidRPr="00512F0E">
        <w:rPr>
          <w:bCs/>
          <w:szCs w:val="21"/>
          <w:lang w:val="es-UY" w:eastAsia="es-UY" w:bidi="es-UY"/>
        </w:rPr>
        <w:t>La relación de Calvo Sánchez con López Mena es parte central de la investigación. Su vinculación anterior con el entorno empresarial de BQB y las actuaciones posteriores de López Mena obligan a examinar quién promovió la participación de Cosmo y con qué finalidad. La tesis del estudio es que Cosmo fue utilizado como vehículo para presentar un comprador formal y facilitar una salida favorable al empresario. Esa interpretación se construye a partir de la secuencia de contactos y gestiones, no de la simple apariencia del hombre que levantó la mano.</w:t>
      </w:r>
    </w:p>
    <w:p w14:paraId="522B13CF" w14:textId="77777777" w:rsidR="00512F0E" w:rsidRPr="00512F0E" w:rsidRDefault="00512F0E" w:rsidP="00512F0E">
      <w:pPr>
        <w:spacing w:after="60" w:line="240" w:lineRule="auto"/>
        <w:rPr>
          <w:bCs/>
          <w:sz w:val="21"/>
          <w:szCs w:val="21"/>
        </w:rPr>
      </w:pPr>
      <w:r w:rsidRPr="00512F0E">
        <w:rPr>
          <w:bCs/>
          <w:szCs w:val="21"/>
          <w:lang w:val="es-UY" w:eastAsia="es-UY" w:bidi="es-UY"/>
        </w:rPr>
        <w:t>El acta notarial introdujo, además, una identificación distinta de la que figuraba en el pasaporte del representante. En lugar de Hernán Antonio Calvo Sánchez, consignó Antonio C. Sánchez. La actuación de Pablo Seitún dio lugar a un proceso judicial y a cuestionamientos de la Suprema Corte de Justicia en la etapa de revisión del procesamiento. En 2018, el PDA informó su absolución en primera instancia y la apelación de la Fiscalía. [6]</w:t>
      </w:r>
    </w:p>
    <w:p w14:paraId="59A3C13E" w14:textId="77777777" w:rsidR="00512F0E" w:rsidRPr="00512F0E" w:rsidRDefault="00512F0E" w:rsidP="00512F0E">
      <w:pPr>
        <w:spacing w:after="60" w:line="240" w:lineRule="auto"/>
        <w:rPr>
          <w:bCs/>
          <w:sz w:val="21"/>
          <w:szCs w:val="21"/>
        </w:rPr>
      </w:pPr>
      <w:r w:rsidRPr="00512F0E">
        <w:rPr>
          <w:bCs/>
          <w:szCs w:val="21"/>
          <w:lang w:val="es-UY" w:eastAsia="es-UY" w:bidi="es-UY"/>
        </w:rPr>
        <w:t>Antes de comenzar el remate, Mujica había anunciado a periodistas que viajaban con él hacia Lima que la subasta duraría cinco minutos. Después explicó que, en el avión, le habían comunicado que había un único interesado. La falta de competencia era conocida por el presidente antes de que comenzara la subasta. [7]</w:t>
      </w:r>
    </w:p>
    <w:p w14:paraId="7A394794"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La conferencia relámpago y el diagnóstico de Herrera</w:t>
      </w:r>
    </w:p>
    <w:p w14:paraId="027BF3BA" w14:textId="77777777" w:rsidR="00512F0E" w:rsidRPr="00512F0E" w:rsidRDefault="00512F0E" w:rsidP="00512F0E">
      <w:pPr>
        <w:spacing w:after="60" w:line="240" w:lineRule="auto"/>
        <w:rPr>
          <w:bCs/>
          <w:sz w:val="21"/>
          <w:szCs w:val="21"/>
        </w:rPr>
      </w:pPr>
      <w:r w:rsidRPr="00512F0E">
        <w:rPr>
          <w:bCs/>
          <w:szCs w:val="21"/>
          <w:lang w:val="es-UY" w:eastAsia="es-UY" w:bidi="es-UY"/>
        </w:rPr>
        <w:t>El libro permite reconstruir con precisión la reacción de Herrera el día del remate. Al terminar la oferta de 137 millones, su primera valoración fue favorable. Consideró que, si alguien pagaba esa suma, el gobierno podía quitarse de encima la carga de la garantía de los aviones y ocuparse de recuperar la conectividad. El periodista Martín Less, de Canal 10, le preguntó por esa valoración. Este comienzo es importante porque muestra que Herrera recibió el resultado con la expectativa de que fuera una solución real. [1]</w:t>
      </w:r>
    </w:p>
    <w:p w14:paraId="6841DCE4" w14:textId="77777777" w:rsidR="00512F0E" w:rsidRPr="00512F0E" w:rsidRDefault="00512F0E" w:rsidP="00512F0E">
      <w:pPr>
        <w:spacing w:after="60" w:line="240" w:lineRule="auto"/>
        <w:rPr>
          <w:bCs/>
          <w:sz w:val="21"/>
          <w:szCs w:val="21"/>
        </w:rPr>
      </w:pPr>
      <w:r w:rsidRPr="00512F0E">
        <w:rPr>
          <w:bCs/>
          <w:szCs w:val="21"/>
          <w:lang w:val="es-UY" w:eastAsia="es-UY" w:bidi="es-UY"/>
        </w:rPr>
        <w:t>Cuando se aproximaba a su casa en Salinas recibió una llamada que le avisó de una conferencia de prensa a las 19 horas en la Torre Ejecutiva. Volvió hacia Montevideo. El libro registra que el reloj del ascensor marcaba las 19:07 cuando preguntó si la conferencia había empezado y recibió la respuesta de que ya había terminado. Al llegar encontró la mesa vacía y a algunos colegas conversando. Less le explicó que Pintado había comunicado lo ocurrido en el Prado y que no se habían aceptado preguntas.</w:t>
      </w:r>
    </w:p>
    <w:p w14:paraId="41C40B1F" w14:textId="77777777" w:rsidR="00512F0E" w:rsidRPr="00512F0E" w:rsidRDefault="00512F0E" w:rsidP="00512F0E">
      <w:pPr>
        <w:spacing w:after="60" w:line="240" w:lineRule="auto"/>
        <w:rPr>
          <w:bCs/>
          <w:sz w:val="21"/>
          <w:szCs w:val="21"/>
        </w:rPr>
      </w:pPr>
      <w:r w:rsidRPr="00512F0E">
        <w:rPr>
          <w:bCs/>
          <w:szCs w:val="21"/>
          <w:lang w:val="es-UY" w:eastAsia="es-UY" w:bidi="es-UY"/>
        </w:rPr>
        <w:t>Herrera preguntó si había comparecido el español que ofreció los 137 millones y Less le respondió que no. Fue entonces cuando dijo que había joda. Su explicación, recogida en el libro, fue contundente: “Sí, es joda porque si fuera verdad que este señor va a comprar los aviones lo hubiesen mostrado como a un trofeo, pero si no lo dejan hablar y lo esconden, es joda”.</w:t>
      </w:r>
    </w:p>
    <w:p w14:paraId="18EB6B26"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La valoración cambió por un hecho observable: el gobierno anunció una solución extraordinaria y evitó presentar ante la prensa a quien supuestamente la había hecho posible. A la advertencia del 12 de septiembre sobre la ausencia de oferentes se sumó el 1 de octubre una comunicación sin preguntas y sin comprador. La crítica del PDA estuvo formulada mientras se desarrollaban los </w:t>
      </w:r>
      <w:r w:rsidRPr="00512F0E">
        <w:rPr>
          <w:bCs/>
          <w:szCs w:val="21"/>
          <w:lang w:val="es-UY" w:eastAsia="es-UY" w:bidi="es-UY"/>
        </w:rPr>
        <w:lastRenderedPageBreak/>
        <w:t>acontecimientos. No fue necesario esperar a conocer el fracaso del pago para señalar que la puesta en escena no ofrecía las explicaciones mínimas exigibles.</w:t>
      </w:r>
    </w:p>
    <w:p w14:paraId="1A7A3DD7"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Lindolfo y la contradicción de López Mena</w:t>
      </w:r>
    </w:p>
    <w:p w14:paraId="5EA31AF3" w14:textId="77777777" w:rsidR="00512F0E" w:rsidRPr="00512F0E" w:rsidRDefault="00512F0E" w:rsidP="00512F0E">
      <w:pPr>
        <w:spacing w:after="60" w:line="240" w:lineRule="auto"/>
        <w:rPr>
          <w:bCs/>
          <w:sz w:val="21"/>
          <w:szCs w:val="21"/>
        </w:rPr>
      </w:pPr>
      <w:r w:rsidRPr="00512F0E">
        <w:rPr>
          <w:bCs/>
          <w:szCs w:val="21"/>
          <w:lang w:val="es-UY" w:eastAsia="es-UY" w:bidi="es-UY"/>
        </w:rPr>
        <w:t>El almuerzo del 3 de octubre de 2012 en el restaurante Lindolfo, en la Ciudad Vieja, reunió a Fernando Lorenzo, Juan Carlos López Mena, Hernán Antonio Calvo Sánchez y otros participantes vinculados al empresario y al Ministerio de Economía. La fotografía y la cobertura periodística hicieron visible una proximidad que debe analizarse junto con las negativas de López Mena sobre su relación con la operación de Cosmo. El supuesto comprador y el empresario que decía mantenerse al margen aparecían en la misma mesa con el ministro. [1, 5]</w:t>
      </w:r>
    </w:p>
    <w:p w14:paraId="324DBECF" w14:textId="77777777" w:rsidR="00512F0E" w:rsidRPr="00512F0E" w:rsidRDefault="00512F0E" w:rsidP="00512F0E">
      <w:pPr>
        <w:spacing w:after="60" w:line="240" w:lineRule="auto"/>
        <w:rPr>
          <w:bCs/>
          <w:sz w:val="21"/>
          <w:szCs w:val="21"/>
        </w:rPr>
      </w:pPr>
      <w:r w:rsidRPr="00512F0E">
        <w:rPr>
          <w:bCs/>
          <w:szCs w:val="21"/>
          <w:lang w:val="es-UY" w:eastAsia="es-UY" w:bidi="es-UY"/>
        </w:rPr>
        <w:t>El PDA denunció que el 4 de octubre salió desde el Ministerio de Economía un fax dirigido a López Mena con indicaciones para organizar la empresa que utilizaría los siete aviones. La referencia a ese documento aparece también en la columna de Herrera de octubre de 2018. Es una pieza sustantiva del cuestionamiento: el ministerio se dirigía al empresario para instrumentar una salida con aeronaves que, según el anuncio del remate, había adquirido Cosmo. [6]</w:t>
      </w:r>
    </w:p>
    <w:p w14:paraId="6B9DDF91" w14:textId="77777777" w:rsidR="00512F0E" w:rsidRPr="00512F0E" w:rsidRDefault="00512F0E" w:rsidP="00512F0E">
      <w:pPr>
        <w:spacing w:after="60" w:line="240" w:lineRule="auto"/>
        <w:rPr>
          <w:bCs/>
          <w:sz w:val="21"/>
          <w:szCs w:val="21"/>
        </w:rPr>
      </w:pPr>
      <w:r w:rsidRPr="00512F0E">
        <w:rPr>
          <w:bCs/>
          <w:szCs w:val="21"/>
          <w:lang w:val="es-UY" w:eastAsia="es-UY" w:bidi="es-UY"/>
        </w:rPr>
        <w:t>¿Por qué el gobierno daba instrucciones a López Mena si el comprador anunciado era otro? La pregunta relaciona la identidad del oferente, el almuerzo y la gestión posterior de los aviones. El estudio sostiene que esa secuencia revela una operación orientada a favorecer a López Mena. Las negativas del empresario deben confrontarse con su intervención efectiva, sus contactos y los compromisos que terminó asumiendo alrededor del aval.</w:t>
      </w:r>
    </w:p>
    <w:p w14:paraId="2296ABBF" w14:textId="77777777" w:rsidR="00512F0E" w:rsidRPr="00512F0E" w:rsidRDefault="00512F0E" w:rsidP="00512F0E">
      <w:pPr>
        <w:spacing w:after="60" w:line="240" w:lineRule="auto"/>
        <w:rPr>
          <w:bCs/>
          <w:sz w:val="21"/>
          <w:szCs w:val="21"/>
        </w:rPr>
      </w:pPr>
      <w:r w:rsidRPr="00512F0E">
        <w:rPr>
          <w:bCs/>
          <w:szCs w:val="21"/>
          <w:lang w:val="es-UY" w:eastAsia="es-UY" w:bidi="es-UY"/>
        </w:rPr>
        <w:t>Herrera incorpora también el relato de una conversación mantenida el 30 de julio de 2014, después de presentar el libro, con un ministro que había intervenido en el desenlace. Según el periodista, su interlocutor reconoció que habían trabajado para López Mena y anticipó que negaría haberlo dicho si era identificado. Se trata de un testimonio de Herrera sobre una fuente cuya identidad mantiene reservada. Su inclusión explica una parte del conocimiento del autor; los hechos públicos del almuerzo, del remate y de las gestiones posteriores sostienen por sí mismos la exigencia de respuestas.</w:t>
      </w:r>
    </w:p>
    <w:p w14:paraId="094791C9"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El aval y las órdenes de Presidencia</w:t>
      </w:r>
    </w:p>
    <w:p w14:paraId="19B085DE" w14:textId="77777777" w:rsidR="00512F0E" w:rsidRPr="00512F0E" w:rsidRDefault="00512F0E" w:rsidP="00512F0E">
      <w:pPr>
        <w:spacing w:after="60" w:line="240" w:lineRule="auto"/>
        <w:rPr>
          <w:bCs/>
          <w:sz w:val="21"/>
          <w:szCs w:val="21"/>
        </w:rPr>
      </w:pPr>
      <w:r w:rsidRPr="00512F0E">
        <w:rPr>
          <w:bCs/>
          <w:szCs w:val="21"/>
          <w:lang w:val="es-UY" w:eastAsia="es-UY" w:bidi="es-UY"/>
        </w:rPr>
        <w:t>El aval del Banco República permitió la participación de Cosmo en la operación y terminó convirtiéndose en uno de los centros del escándalo. Fernando Calloia, presidente del BROU, y Fernando Lorenzo, ministro de Economía, fueron procesados por abuso de funciones. Ese desenlace judicial no explica por sí solo quién impulsó la operación, por qué se eligió esa salida ni cuál fue la intervención de Presidencia. La responsabilidad de los ejecutores exige reconstruir también las decisiones que precedieron a sus actos. [1, 5]</w:t>
      </w:r>
    </w:p>
    <w:p w14:paraId="240C51D1"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Herrera recibió de un testigo directo el relato de una reunión en el piso 11 de la Torre Ejecutiva, con varios protagonistas del caso. Según esa fuente, Mujica le dijo a Lorenzo “a usted lo mató la velocidad” y a </w:t>
      </w:r>
      <w:proofErr w:type="spellStart"/>
      <w:r w:rsidRPr="00512F0E">
        <w:rPr>
          <w:bCs/>
          <w:szCs w:val="21"/>
          <w:lang w:val="es-UY" w:eastAsia="es-UY" w:bidi="es-UY"/>
        </w:rPr>
        <w:t>Calloia</w:t>
      </w:r>
      <w:proofErr w:type="spellEnd"/>
      <w:r w:rsidRPr="00512F0E">
        <w:rPr>
          <w:bCs/>
          <w:szCs w:val="21"/>
          <w:lang w:val="es-UY" w:eastAsia="es-UY" w:bidi="es-UY"/>
        </w:rPr>
        <w:t xml:space="preserve"> “y usted se comió un garrón”. Son expresiones transmitidas al periodista por un participante y el estudio conserva esa procedencia. Describen una lectura presidencial de los costos que terminarían soportando dos integrantes del gobierno por la operación.</w:t>
      </w:r>
    </w:p>
    <w:p w14:paraId="07AB934C" w14:textId="77777777" w:rsidR="00512F0E" w:rsidRPr="00512F0E" w:rsidRDefault="00512F0E" w:rsidP="00512F0E">
      <w:pPr>
        <w:spacing w:after="60" w:line="240" w:lineRule="auto"/>
        <w:rPr>
          <w:bCs/>
          <w:sz w:val="21"/>
          <w:szCs w:val="21"/>
        </w:rPr>
      </w:pPr>
      <w:r w:rsidRPr="00512F0E">
        <w:rPr>
          <w:bCs/>
          <w:szCs w:val="21"/>
          <w:lang w:val="es-UY" w:eastAsia="es-UY" w:bidi="es-UY"/>
        </w:rPr>
        <w:t>Las declaraciones públicas de Mujica, las gestiones de López Mena y los testimonios sobre las reuniones deben formar parte del examen de responsabilidades. El estudio reclama que la reconstrucción alcance a quienes promovieron y dirigieron la salida, además de quienes firmaron o tramitaron el aval. La jerarquía presidencial no sustituye la prueba de una participación concreta, pero tampoco autoriza a interrumpir la investigación de las decisiones en el nivel inmediatamente inferior.</w:t>
      </w:r>
    </w:p>
    <w:p w14:paraId="5C3E9250"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La venta posterior de los aviones y el costo para el país</w:t>
      </w:r>
    </w:p>
    <w:p w14:paraId="678000BE" w14:textId="77777777" w:rsidR="00512F0E" w:rsidRPr="00512F0E" w:rsidRDefault="00512F0E" w:rsidP="00512F0E">
      <w:pPr>
        <w:spacing w:after="60" w:line="240" w:lineRule="auto"/>
        <w:rPr>
          <w:bCs/>
          <w:sz w:val="21"/>
          <w:szCs w:val="21"/>
        </w:rPr>
      </w:pPr>
      <w:r w:rsidRPr="00512F0E">
        <w:rPr>
          <w:bCs/>
          <w:szCs w:val="21"/>
          <w:lang w:val="es-UY" w:eastAsia="es-UY" w:bidi="es-UY"/>
        </w:rPr>
        <w:lastRenderedPageBreak/>
        <w:t>La oferta de Cosmo no resolvió la situación de los siete CRJ900. La operación anunciada por 137 millones no se convirtió en la solución que se presentó a la ciudadanía. Más tarde los aviones se vendieron por una suma muy inferior, situada por las publicaciones del PDA en algo más de 60 millones de dólares. El contraste muestra la distancia entre el discurso sobre el valor de las aeronaves y la salida efectiva conseguida después del cierre. [5]</w:t>
      </w:r>
    </w:p>
    <w:p w14:paraId="34A978A1" w14:textId="77777777" w:rsidR="00512F0E" w:rsidRPr="00512F0E" w:rsidRDefault="00512F0E" w:rsidP="00512F0E">
      <w:pPr>
        <w:spacing w:after="60" w:line="240" w:lineRule="auto"/>
        <w:rPr>
          <w:bCs/>
          <w:sz w:val="21"/>
          <w:szCs w:val="21"/>
        </w:rPr>
      </w:pPr>
      <w:r w:rsidRPr="00512F0E">
        <w:rPr>
          <w:bCs/>
          <w:szCs w:val="21"/>
          <w:lang w:val="es-UY" w:eastAsia="es-UY" w:bidi="es-UY"/>
        </w:rPr>
        <w:t>La ley 18.931, aprobada para instrumentar la liquidación, fue objeto de declaraciones de inconstitucionalidad. Ese revés se incorporó a una cadena de decisiones que no restituyeron la operación ni eliminaron las obligaciones que el Estado había asumido. La comparación de los precios tampoco debe ocultar la estructura de las deudas, el concurso y el destino de lo obtenido por los activos. Vender aviones no equivalía a recuperar una aerolínea en funcionamiento ni a borrar automáticamente sus pasivos.</w:t>
      </w:r>
    </w:p>
    <w:p w14:paraId="648578C6"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país perdió la red antes de encontrar una salida para sus activos. La desaparición del centro de conexiones de </w:t>
      </w:r>
      <w:proofErr w:type="spellStart"/>
      <w:r w:rsidRPr="00512F0E">
        <w:rPr>
          <w:bCs/>
          <w:szCs w:val="21"/>
          <w:lang w:val="es-UY" w:eastAsia="es-UY" w:bidi="es-UY"/>
        </w:rPr>
        <w:t>Pluna</w:t>
      </w:r>
      <w:proofErr w:type="spellEnd"/>
      <w:r w:rsidRPr="00512F0E">
        <w:rPr>
          <w:bCs/>
          <w:szCs w:val="21"/>
          <w:lang w:val="es-UY" w:eastAsia="es-UY" w:bidi="es-UY"/>
        </w:rPr>
        <w:t xml:space="preserve"> dejó a Uruguay dependiendo de decisiones comerciales de operadores con redes y prioridades propias. El perjuicio comprende las conexiones que se interrumpieron, el empleo perdido y las posibilidades de turismo y negocios que dependían de esa operación. El estudio señala ese costo estratégico sin confundirlo con la afirmación de que ninguna compañía haya incorporado servicios posteriormente.</w:t>
      </w:r>
    </w:p>
    <w:p w14:paraId="6F773E49"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La acumulación de causas y las responsabilidades diferentes</w:t>
      </w:r>
    </w:p>
    <w:p w14:paraId="4C9D681C"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En diciembre de 2013, Búsqueda informó que la jueza Adriana de los Santos había unificado investigaciones a pedido del fiscal Juan Gómez. La crónica distinguía actuaciones sobre </w:t>
      </w:r>
      <w:proofErr w:type="spellStart"/>
      <w:r w:rsidRPr="00512F0E">
        <w:rPr>
          <w:bCs/>
          <w:szCs w:val="21"/>
          <w:lang w:val="es-UY" w:eastAsia="es-UY" w:bidi="es-UY"/>
        </w:rPr>
        <w:t>Campiani</w:t>
      </w:r>
      <w:proofErr w:type="spellEnd"/>
      <w:r w:rsidRPr="00512F0E">
        <w:rPr>
          <w:bCs/>
          <w:szCs w:val="21"/>
          <w:lang w:val="es-UY" w:eastAsia="es-UY" w:bidi="es-UY"/>
        </w:rPr>
        <w:t xml:space="preserve"> y ANCAP, denuncias que involucraban a los ministros y la investigación del aval a Cosmo. Esta acumulación vinculó judicialmente hechos de la administración de la aerolínea con hechos posteriores a su cierre. Que existieran conexiones entre sus protagonistas no vuelve idénticas las conductas investigadas ni las responsabilidades de cada etapa. [8]</w:t>
      </w:r>
    </w:p>
    <w:p w14:paraId="4DAFE219"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En marzo de 2014, Búsqueda informó una </w:t>
      </w:r>
      <w:proofErr w:type="spellStart"/>
      <w:r w:rsidRPr="00512F0E">
        <w:rPr>
          <w:bCs/>
          <w:szCs w:val="21"/>
          <w:lang w:val="es-UY" w:eastAsia="es-UY" w:bidi="es-UY"/>
        </w:rPr>
        <w:t>desacumulación</w:t>
      </w:r>
      <w:proofErr w:type="spellEnd"/>
      <w:r w:rsidRPr="00512F0E">
        <w:rPr>
          <w:bCs/>
          <w:szCs w:val="21"/>
          <w:lang w:val="es-UY" w:eastAsia="es-UY" w:bidi="es-UY"/>
        </w:rPr>
        <w:t xml:space="preserve"> posterior vinculada a la investigación de Lorenzo y Calloia. Por eso sería inexacto atribuir toda la duración del expediente a una única unificación que se hubiera mantenido sin cambios durante catorce años. La crítica debe dirigirse a los fundamentos de esas decisiones y a sus efectos reales sobre las garantías y los tiempos de los involucrados. [9]</w:t>
      </w:r>
    </w:p>
    <w:p w14:paraId="6F81B072" w14:textId="77777777" w:rsidR="00512F0E" w:rsidRPr="00512F0E" w:rsidRDefault="00512F0E" w:rsidP="00512F0E">
      <w:pPr>
        <w:spacing w:after="60" w:line="240" w:lineRule="auto"/>
        <w:rPr>
          <w:bCs/>
          <w:sz w:val="21"/>
          <w:szCs w:val="21"/>
        </w:rPr>
      </w:pPr>
      <w:proofErr w:type="spellStart"/>
      <w:r w:rsidRPr="00512F0E">
        <w:rPr>
          <w:bCs/>
          <w:szCs w:val="21"/>
          <w:lang w:val="es-UY" w:eastAsia="es-UY" w:bidi="es-UY"/>
        </w:rPr>
        <w:t>Campiani</w:t>
      </w:r>
      <w:proofErr w:type="spellEnd"/>
      <w:r w:rsidRPr="00512F0E">
        <w:rPr>
          <w:bCs/>
          <w:szCs w:val="21"/>
          <w:lang w:val="es-UY" w:eastAsia="es-UY" w:bidi="es-UY"/>
        </w:rPr>
        <w:t xml:space="preserve"> y sus socios no pueden cargar, por proximidad en el expediente o en el relato público, con la responsabilidad de una subasta organizada después de su salida. La gestión privada, la recuperación estatal del control, el cierre y el remate requieren una explicación que mantenga visibles sus fechas y sus autores. Esa separación es indispensable para evitar que el escándalo posterior sirva para confirmar retrospectivamente cualquier acusación contra los anteriores administradores.</w:t>
      </w:r>
    </w:p>
    <w:p w14:paraId="5D5AFDAC"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El laudo del CIADI y la responsabilidad del Estado</w:t>
      </w:r>
    </w:p>
    <w:p w14:paraId="06C29DDC"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13 de febrero de 2024 se emitió el laudo en el caso </w:t>
      </w:r>
      <w:proofErr w:type="spellStart"/>
      <w:r w:rsidRPr="00512F0E">
        <w:rPr>
          <w:bCs/>
          <w:szCs w:val="21"/>
          <w:lang w:val="es-UY" w:eastAsia="es-UY" w:bidi="es-UY"/>
        </w:rPr>
        <w:t>Latin</w:t>
      </w:r>
      <w:proofErr w:type="spellEnd"/>
      <w:r w:rsidRPr="00512F0E">
        <w:rPr>
          <w:bCs/>
          <w:szCs w:val="21"/>
          <w:lang w:val="es-UY" w:eastAsia="es-UY" w:bidi="es-UY"/>
        </w:rPr>
        <w:t xml:space="preserve"> American Regional Aviation Holding contra la República Oriental del Uruguay, identificado como CIADI ARB/19/16. Su importancia para este estudio es que estableció una responsabilidad internacional del Estado por su actuación frente a la inversión vinculada a </w:t>
      </w:r>
      <w:proofErr w:type="spellStart"/>
      <w:r w:rsidRPr="00512F0E">
        <w:rPr>
          <w:bCs/>
          <w:szCs w:val="21"/>
          <w:lang w:val="es-UY" w:eastAsia="es-UY" w:bidi="es-UY"/>
        </w:rPr>
        <w:t>Pluna</w:t>
      </w:r>
      <w:proofErr w:type="spellEnd"/>
      <w:r w:rsidRPr="00512F0E">
        <w:rPr>
          <w:bCs/>
          <w:szCs w:val="21"/>
          <w:lang w:val="es-UY" w:eastAsia="es-UY" w:bidi="es-UY"/>
        </w:rPr>
        <w:t>. El análisis del tribunal atribuyó efectos decisivos a la interrupción de la facilidad de crédito del combustible, a la pérdida del financiamiento del ING por la oposición pública del Estado y a la campaña pública gubernamental. El tribunal concluyó que se produjo una expropiación indirecta ilícita. [2]</w:t>
      </w:r>
    </w:p>
    <w:p w14:paraId="732EA363"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laudo obliga a abandonar la explicación cómoda de un Estado que simplemente asistió a la caída de una empresa privada. La condena se refiere a actuaciones estatales que contribuyeron a paralizarla y privaron al inversionista de su inversión. Esas conclusiones respaldan una parte central </w:t>
      </w:r>
      <w:r w:rsidRPr="00512F0E">
        <w:rPr>
          <w:bCs/>
          <w:szCs w:val="21"/>
          <w:lang w:val="es-UY" w:eastAsia="es-UY" w:bidi="es-UY"/>
        </w:rPr>
        <w:lastRenderedPageBreak/>
        <w:t>de la investigación publicada en 2014: el comportamiento del gobierno debe estar en el centro de la explicación del desenlace.</w:t>
      </w:r>
    </w:p>
    <w:p w14:paraId="5F3EFC15"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Barrera interpreta el fallo como una ratificación de la defensa de </w:t>
      </w:r>
      <w:proofErr w:type="spellStart"/>
      <w:r w:rsidRPr="00512F0E">
        <w:rPr>
          <w:bCs/>
          <w:szCs w:val="21"/>
          <w:lang w:val="es-UY" w:eastAsia="es-UY" w:bidi="es-UY"/>
        </w:rPr>
        <w:t>Campiani</w:t>
      </w:r>
      <w:proofErr w:type="spellEnd"/>
      <w:r w:rsidRPr="00512F0E">
        <w:rPr>
          <w:bCs/>
          <w:szCs w:val="21"/>
          <w:lang w:val="es-UY" w:eastAsia="es-UY" w:bidi="es-UY"/>
        </w:rPr>
        <w:t xml:space="preserve"> y de las objeciones del libro. Esa lectura tiene una consecuencia política importante: el Estado fue condenado internacionalmente mientras la causa penal contra los administradores privados seguía sin una resolución definitiva. El objeto del arbitraje fue la responsabilidad internacional respecto de la inversión; la sentencia penal sobre </w:t>
      </w:r>
      <w:proofErr w:type="spellStart"/>
      <w:r w:rsidRPr="00512F0E">
        <w:rPr>
          <w:bCs/>
          <w:szCs w:val="21"/>
          <w:lang w:val="es-UY" w:eastAsia="es-UY" w:bidi="es-UY"/>
        </w:rPr>
        <w:t>Campiani</w:t>
      </w:r>
      <w:proofErr w:type="spellEnd"/>
      <w:r w:rsidRPr="00512F0E">
        <w:rPr>
          <w:bCs/>
          <w:szCs w:val="21"/>
          <w:lang w:val="es-UY" w:eastAsia="es-UY" w:bidi="es-UY"/>
        </w:rPr>
        <w:t xml:space="preserve"> corresponde al proceso uruguayo. El estudio relaciona ambos procedimientos mediante sus hechos y conclusiones, sin convertir el laudo en una absolución penal que no pronunció.</w:t>
      </w:r>
    </w:p>
    <w:p w14:paraId="0E5999DC"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laudo del CIADI confirma la tesis central de </w:t>
      </w:r>
      <w:proofErr w:type="spellStart"/>
      <w:r w:rsidRPr="00512F0E">
        <w:rPr>
          <w:bCs/>
          <w:szCs w:val="21"/>
          <w:lang w:val="es-UY" w:eastAsia="es-UY" w:bidi="es-UY"/>
        </w:rPr>
        <w:t>Pluna</w:t>
      </w:r>
      <w:proofErr w:type="spellEnd"/>
      <w:r w:rsidRPr="00512F0E">
        <w:rPr>
          <w:bCs/>
          <w:szCs w:val="21"/>
          <w:lang w:val="es-UY" w:eastAsia="es-UY" w:bidi="es-UY"/>
        </w:rPr>
        <w:t>, el riesgo de volar alto sobre la intervención del Estado en el desenlace de la aerolínea. Diez años después de la publicación del libro, una resolución internacional estableció que actuaciones estatales habían paralizado la compañía y ocasionado la pérdida de la inversión. Los hechos relativos al financiamiento, al combustible y a la campaña gubernamental dan respaldo a la reconstrucción publicada por Herrera en 2014. En su entrevista de enero de 2026, Barrera expresó que lo ocurrido durante esos años ratificaba lo escrito por el periodista y sostuvo que el laudo confirmaba los argumentos de la defensa. El libro había señalado responsabilidades estatales que la condena internacional volvió imposible eludir. [1, 2, 3]</w:t>
      </w:r>
    </w:p>
    <w:p w14:paraId="1E703370"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t>Catorce años desde la denuncia y una causa sin definición</w:t>
      </w:r>
    </w:p>
    <w:p w14:paraId="51721119" w14:textId="77777777" w:rsidR="00512F0E" w:rsidRPr="00512F0E" w:rsidRDefault="00512F0E" w:rsidP="00512F0E">
      <w:pPr>
        <w:spacing w:after="60" w:line="240" w:lineRule="auto"/>
        <w:rPr>
          <w:bCs/>
          <w:sz w:val="21"/>
          <w:szCs w:val="21"/>
        </w:rPr>
      </w:pPr>
      <w:r w:rsidRPr="00512F0E">
        <w:rPr>
          <w:bCs/>
          <w:szCs w:val="21"/>
          <w:lang w:val="es-UY" w:eastAsia="es-UY" w:bidi="es-UY"/>
        </w:rPr>
        <w:t>En la entrevista con Herrera difundida en enero de 2026, Jorge Barrera situó la denuncia en 2012 y el primer procesamiento en 2013. Subrayó que no había sentencia y agregó un dato todavía más grave: “no hay acusación fiscal, que es peor”. Explicó que la causa se tramitaba bajo el régimen procesal anterior a 2017 y sostuvo que correspondía un sobreseimiento. Su declaración es una fuente directa para establecer lo que la defensa denunciaba al comenzar 2026. [3]</w:t>
      </w:r>
    </w:p>
    <w:p w14:paraId="2006DBE1"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En abril de 2026, Natalia Roba informó en El Observador que </w:t>
      </w:r>
      <w:proofErr w:type="spellStart"/>
      <w:r w:rsidRPr="00512F0E">
        <w:rPr>
          <w:bCs/>
          <w:szCs w:val="21"/>
          <w:lang w:val="es-UY" w:eastAsia="es-UY" w:bidi="es-UY"/>
        </w:rPr>
        <w:t>Campiani</w:t>
      </w:r>
      <w:proofErr w:type="spellEnd"/>
      <w:r w:rsidRPr="00512F0E">
        <w:rPr>
          <w:bCs/>
          <w:szCs w:val="21"/>
          <w:lang w:val="es-UY" w:eastAsia="es-UY" w:bidi="es-UY"/>
        </w:rPr>
        <w:t xml:space="preserve"> había acudido a la Comisión Interamericana de Derechos Humanos por la duración del proceso. La nota describió también problemas para localizar documentos y actuaciones anteriores de la defensa. Esta información prolonga la constatación de una causa sin definición y permite dimensionar la controversia sobre el plazo razonable. La presentación ante la CIDH es una reclamación de </w:t>
      </w:r>
      <w:proofErr w:type="spellStart"/>
      <w:r w:rsidRPr="00512F0E">
        <w:rPr>
          <w:bCs/>
          <w:szCs w:val="21"/>
          <w:lang w:val="es-UY" w:eastAsia="es-UY" w:bidi="es-UY"/>
        </w:rPr>
        <w:t>Campiani</w:t>
      </w:r>
      <w:proofErr w:type="spellEnd"/>
      <w:r w:rsidRPr="00512F0E">
        <w:rPr>
          <w:bCs/>
          <w:szCs w:val="21"/>
          <w:lang w:val="es-UY" w:eastAsia="es-UY" w:bidi="es-UY"/>
        </w:rPr>
        <w:t>, no una resolución de ese organismo sobre el fondo. [10]</w:t>
      </w:r>
    </w:p>
    <w:p w14:paraId="422DFA84" w14:textId="77777777" w:rsidR="00512F0E" w:rsidRPr="00512F0E" w:rsidRDefault="00512F0E" w:rsidP="00512F0E">
      <w:pPr>
        <w:spacing w:after="60" w:line="240" w:lineRule="auto"/>
        <w:rPr>
          <w:bCs/>
          <w:sz w:val="21"/>
          <w:szCs w:val="21"/>
        </w:rPr>
      </w:pPr>
      <w:r w:rsidRPr="00512F0E">
        <w:rPr>
          <w:bCs/>
          <w:szCs w:val="21"/>
          <w:lang w:val="es-UY" w:eastAsia="es-UY" w:bidi="es-UY"/>
        </w:rPr>
        <w:t>El cómputo debe conservar sus fechas: en 2026 se cumplen catorce años de la denuncia de mayo de 2012; desde el procesamiento de diciembre de 2013 transcurrió un período menor. La distinción no reduce el problema. Una persona no puede permanecer indefinidamente sometida al peso de una acusación pública sin que el Estado defina su situación mediante el procedimiento correspondiente. El transcurso del tiempo no constituye una prueba de inocencia ni permite sostener una culpabilidad que todavía no ha sido declarada en sentencia.</w:t>
      </w:r>
    </w:p>
    <w:p w14:paraId="78F06122"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Barrera recordó la ciudadanía alemana de </w:t>
      </w:r>
      <w:proofErr w:type="spellStart"/>
      <w:r w:rsidRPr="00512F0E">
        <w:rPr>
          <w:bCs/>
          <w:szCs w:val="21"/>
          <w:lang w:val="es-UY" w:eastAsia="es-UY" w:bidi="es-UY"/>
        </w:rPr>
        <w:t>Campiani</w:t>
      </w:r>
      <w:proofErr w:type="spellEnd"/>
      <w:r w:rsidRPr="00512F0E">
        <w:rPr>
          <w:bCs/>
          <w:szCs w:val="21"/>
          <w:lang w:val="es-UY" w:eastAsia="es-UY" w:bidi="es-UY"/>
        </w:rPr>
        <w:t xml:space="preserve"> y su decisión de presentarse ante la justicia uruguaya. Herrera relató sus entrevistas antes, durante y después de la prisión y la documentación que recibió para el libro. El regreso voluntario forma parte de esa reconstrucción. La ciudadanía extranjera, por sí sola, no elimina obligaciones ante la justicia; el hecho relevante que la defensa destaca es que </w:t>
      </w:r>
      <w:proofErr w:type="spellStart"/>
      <w:r w:rsidRPr="00512F0E">
        <w:rPr>
          <w:bCs/>
          <w:szCs w:val="21"/>
          <w:lang w:val="es-UY" w:eastAsia="es-UY" w:bidi="es-UY"/>
        </w:rPr>
        <w:t>Campiani</w:t>
      </w:r>
      <w:proofErr w:type="spellEnd"/>
      <w:r w:rsidRPr="00512F0E">
        <w:rPr>
          <w:bCs/>
          <w:szCs w:val="21"/>
          <w:lang w:val="es-UY" w:eastAsia="es-UY" w:bidi="es-UY"/>
        </w:rPr>
        <w:t xml:space="preserve"> compareció y permaneció privado de libertad durante aproximadamente dieciocho meses.</w:t>
      </w:r>
    </w:p>
    <w:p w14:paraId="38CB449F" w14:textId="77777777" w:rsidR="00512F0E" w:rsidRPr="00512F0E" w:rsidRDefault="00512F0E" w:rsidP="00512F0E">
      <w:pPr>
        <w:spacing w:after="60" w:line="240" w:lineRule="auto"/>
        <w:rPr>
          <w:bCs/>
          <w:sz w:val="21"/>
          <w:szCs w:val="21"/>
        </w:rPr>
      </w:pPr>
      <w:r w:rsidRPr="00512F0E">
        <w:rPr>
          <w:bCs/>
          <w:szCs w:val="21"/>
          <w:lang w:val="es-UY" w:eastAsia="es-UY" w:bidi="es-UY"/>
        </w:rPr>
        <w:t>La pregunta pendiente es concreta: qué justifica la duración de la causa y por qué no se ha alcanzado una definición. Deben responderla quienes conducen el procedimiento. También corresponde exigir a quienes impulsaron y difundieron las acusaciones que expliquen cómo sostienen hoy sus afirmaciones frente a la documentación del libro, los argumentos de la defensa y las conclusiones del arbitraje internacional.</w:t>
      </w:r>
    </w:p>
    <w:p w14:paraId="6914578F" w14:textId="77777777" w:rsidR="00512F0E" w:rsidRPr="00512F0E" w:rsidRDefault="00512F0E" w:rsidP="00512F0E">
      <w:pPr>
        <w:spacing w:before="160" w:after="80" w:line="240" w:lineRule="auto"/>
        <w:rPr>
          <w:bCs/>
          <w:sz w:val="21"/>
          <w:szCs w:val="21"/>
        </w:rPr>
      </w:pPr>
      <w:r w:rsidRPr="00512F0E">
        <w:rPr>
          <w:b/>
          <w:bCs/>
          <w:sz w:val="24"/>
          <w:szCs w:val="21"/>
          <w:lang w:val="es-UY" w:eastAsia="es-UY" w:bidi="es-UY"/>
        </w:rPr>
        <w:lastRenderedPageBreak/>
        <w:t>El balance de los protagonistas</w:t>
      </w:r>
    </w:p>
    <w:p w14:paraId="4C6FF3F2"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El balance del caso </w:t>
      </w:r>
      <w:proofErr w:type="spellStart"/>
      <w:r w:rsidRPr="00512F0E">
        <w:rPr>
          <w:bCs/>
          <w:szCs w:val="21"/>
          <w:lang w:val="es-UY" w:eastAsia="es-UY" w:bidi="es-UY"/>
        </w:rPr>
        <w:t>Pluna</w:t>
      </w:r>
      <w:proofErr w:type="spellEnd"/>
      <w:r w:rsidRPr="00512F0E">
        <w:rPr>
          <w:bCs/>
          <w:szCs w:val="21"/>
          <w:lang w:val="es-UY" w:eastAsia="es-UY" w:bidi="es-UY"/>
        </w:rPr>
        <w:t xml:space="preserve"> exige poner los nombres sobre la mesa. El país perdió su aerolínea de referencia y una herramienta estratégica de conectividad, turismo y desarrollo. Después vinieron la subasta frustrada, el aval a Cosmo y una causa penal que, según declaró Jorge Barrera en enero de 2026, seguía sin sentencia y sin acusación fiscal. El costo lo soportaron los trabajadores, las empresas que dependían de esa conectividad y el conjunto de los uruguayos. Las explicaciones de quienes condujeron el desastre siguen siendo insuficientes.</w:t>
      </w:r>
    </w:p>
    <w:p w14:paraId="7DEE7370" w14:textId="77777777" w:rsidR="00512F0E" w:rsidRPr="00512F0E" w:rsidRDefault="00512F0E" w:rsidP="00512F0E">
      <w:pPr>
        <w:spacing w:after="60" w:line="240" w:lineRule="auto"/>
        <w:rPr>
          <w:bCs/>
          <w:sz w:val="21"/>
          <w:szCs w:val="21"/>
        </w:rPr>
      </w:pPr>
      <w:r w:rsidRPr="00512F0E">
        <w:rPr>
          <w:bCs/>
          <w:szCs w:val="21"/>
          <w:lang w:val="es-UY" w:eastAsia="es-UY" w:bidi="es-UY"/>
        </w:rPr>
        <w:t>José Mujica ocupaba la Presidencia y le correspondía responder por las decisiones de su gobierno. Su muerte cerró la posibilidad de exigirle personalmente las respuestas que quedaron pendientes; no borra su responsabilidad histórica. El cierre y la operación posterior con los aviones pertenecen a su administración. El anuncio de los cinco minutos, basado en que había un único interesado, debe permanecer en el balance. La ausencia de competencia era conocida antes de que comenzara el espectáculo. [7]</w:t>
      </w:r>
    </w:p>
    <w:p w14:paraId="3FCF7870" w14:textId="77777777" w:rsidR="00512F0E" w:rsidRPr="00512F0E" w:rsidRDefault="00512F0E" w:rsidP="00512F0E">
      <w:pPr>
        <w:spacing w:after="60" w:line="240" w:lineRule="auto"/>
        <w:rPr>
          <w:bCs/>
          <w:sz w:val="21"/>
          <w:szCs w:val="21"/>
        </w:rPr>
      </w:pPr>
      <w:r w:rsidRPr="00512F0E">
        <w:rPr>
          <w:bCs/>
          <w:szCs w:val="21"/>
          <w:lang w:val="es-UY" w:eastAsia="es-UY" w:bidi="es-UY"/>
        </w:rPr>
        <w:t>Juan Carlos López Mena está vivo y debe dar una explicación completa de su intervención. El almuerzo de Lindolfo, su relación con Calvo Sánchez y las gestiones posteriores con los aviones deben examinarse como una misma secuencia. La tesis de este estudio es que el gobierno condujo una operación orientada a favorecerlo y que Cosmo fue el vehículo utilizado para presentar al supuesto comprador. López Mena debe responder a esa reconstrucción con una explicación de sus actos y contactos. Las negativas generales no contestan por qué se le daban instrucciones sobre los aviones que formalmente había ofertado otra empresa.</w:t>
      </w:r>
    </w:p>
    <w:p w14:paraId="154C3822" w14:textId="77777777" w:rsidR="00512F0E" w:rsidRPr="00512F0E" w:rsidRDefault="00512F0E" w:rsidP="00512F0E">
      <w:pPr>
        <w:spacing w:after="60" w:line="240" w:lineRule="auto"/>
        <w:rPr>
          <w:bCs/>
          <w:sz w:val="21"/>
          <w:szCs w:val="21"/>
        </w:rPr>
      </w:pPr>
      <w:r w:rsidRPr="00512F0E">
        <w:rPr>
          <w:bCs/>
          <w:szCs w:val="21"/>
          <w:lang w:val="es-UY" w:eastAsia="es-UY" w:bidi="es-UY"/>
        </w:rPr>
        <w:t>Fernando Lorenzo debe figurar por su actuación en la salida de los accionistas privados, por su papel en la decisión de cerrar y por su intervención posterior en el aval. Fernando Calloia debe figurar por la gestión del BROU en ese aval. Los procesamientos que recibieron no permiten dar por agotada la explicación de las decisiones superiores ni de los intereses que participaron en la operación.</w:t>
      </w:r>
    </w:p>
    <w:p w14:paraId="281222DB" w14:textId="77777777" w:rsidR="00512F0E" w:rsidRPr="00512F0E" w:rsidRDefault="00512F0E" w:rsidP="00512F0E">
      <w:pPr>
        <w:spacing w:after="60" w:line="240" w:lineRule="auto"/>
        <w:rPr>
          <w:bCs/>
          <w:sz w:val="21"/>
          <w:szCs w:val="21"/>
        </w:rPr>
      </w:pPr>
      <w:r w:rsidRPr="00512F0E">
        <w:rPr>
          <w:bCs/>
          <w:szCs w:val="21"/>
          <w:lang w:val="es-UY" w:eastAsia="es-UY" w:bidi="es-UY"/>
        </w:rPr>
        <w:t>Enrique Pintado tuvo un papel directo en la preparación y en la presentación pública de la salida con los aviones. El estudio lo identifica como uno de los artífices de la parodia de subasta y cuestiona que su actuación no haya recibido un examen público de la profundidad que exige el caso. Canceló la primera instancia con la explicación de que cuatro oferentes eran pocos y presentó después como venta una operación que no llegó a concretarse. Su comunicación sin preguntas en la Torre Ejecutiva resume una forma de conducción que exigía explicaciones y ofrecía anuncios.</w:t>
      </w:r>
    </w:p>
    <w:p w14:paraId="5ACFEF5E" w14:textId="77777777" w:rsidR="00512F0E" w:rsidRPr="00512F0E" w:rsidRDefault="00512F0E" w:rsidP="00512F0E">
      <w:pPr>
        <w:spacing w:after="60" w:line="240" w:lineRule="auto"/>
        <w:rPr>
          <w:bCs/>
          <w:sz w:val="21"/>
          <w:szCs w:val="21"/>
        </w:rPr>
      </w:pPr>
      <w:r w:rsidRPr="00512F0E">
        <w:rPr>
          <w:bCs/>
          <w:szCs w:val="21"/>
          <w:lang w:val="es-UY" w:eastAsia="es-UY" w:bidi="es-UY"/>
        </w:rPr>
        <w:t xml:space="preserve">Carlos Moreira tampoco puede quedar fuera. Este estudio sostiene que su denuncia instaló un relato político de vaciamiento y estafa que la investigación del libro cuestiona con documentación concreta. </w:t>
      </w:r>
      <w:proofErr w:type="spellStart"/>
      <w:r w:rsidRPr="00512F0E">
        <w:rPr>
          <w:bCs/>
          <w:szCs w:val="21"/>
          <w:lang w:val="es-UY" w:eastAsia="es-UY" w:bidi="es-UY"/>
        </w:rPr>
        <w:t>Aerovip</w:t>
      </w:r>
      <w:proofErr w:type="spellEnd"/>
      <w:r w:rsidRPr="00512F0E">
        <w:rPr>
          <w:bCs/>
          <w:szCs w:val="21"/>
          <w:lang w:val="es-UY" w:eastAsia="es-UY" w:bidi="es-UY"/>
        </w:rPr>
        <w:t xml:space="preserve"> y los cheques de ANCAP son dos puntos esenciales de esa refutación. Quien impulsó acusaciones de semejante gravedad debe responder por sus fundamentos y por las consecuencias de su intervención. Una denuncia puede abrir una investigación; no puede conservar indefinidamente el peso público de una condena que no existe.</w:t>
      </w:r>
    </w:p>
    <w:p w14:paraId="761ED1BF" w14:textId="77777777" w:rsidR="00512F0E" w:rsidRPr="00512F0E" w:rsidRDefault="00512F0E" w:rsidP="00512F0E">
      <w:pPr>
        <w:spacing w:after="60" w:line="240" w:lineRule="auto"/>
        <w:rPr>
          <w:bCs/>
          <w:sz w:val="21"/>
          <w:szCs w:val="21"/>
        </w:rPr>
      </w:pPr>
      <w:r w:rsidRPr="00512F0E">
        <w:rPr>
          <w:bCs/>
          <w:szCs w:val="21"/>
          <w:lang w:val="es-UY" w:eastAsia="es-UY" w:bidi="es-UY"/>
        </w:rPr>
        <w:t>El balance incluye a Pablo Seitún. Fue procesado por su actuación notarial en el remate y posteriormente absuelto en primera instancia, decisión que, según informó el PDA en octubre de 2018, fue apelada por la Fiscalía. Actualmente figura oficialmente como director de Transporte Aéreo Comercial de la DINACIA. Herrera considera inconcebible que, con los antecedentes directos de su actuación en la subasta, se le confíe hoy un cargo de esa responsabilidad en la DINACIA. El cuestionamiento se dirige a la confianza institucional depositada en quien intervino en aquella operación y exige una respuesta de las autoridades que la sostienen. Las autoridades deben explicar el criterio con el que se le confió esa responsabilidad después de una actuación notarial que había recibido aquellos cuestionamientos. [6, 11]</w:t>
      </w:r>
    </w:p>
    <w:p w14:paraId="17617C1C" w14:textId="77777777" w:rsidR="00512F0E" w:rsidRPr="00512F0E" w:rsidRDefault="00512F0E" w:rsidP="00512F0E">
      <w:pPr>
        <w:spacing w:after="60" w:line="240" w:lineRule="auto"/>
        <w:rPr>
          <w:bCs/>
          <w:sz w:val="21"/>
          <w:szCs w:val="21"/>
        </w:rPr>
      </w:pPr>
      <w:r w:rsidRPr="00512F0E">
        <w:rPr>
          <w:bCs/>
          <w:szCs w:val="21"/>
          <w:lang w:val="es-UY" w:eastAsia="es-UY" w:bidi="es-UY"/>
        </w:rPr>
        <w:lastRenderedPageBreak/>
        <w:t xml:space="preserve">Uruguay perdió </w:t>
      </w:r>
      <w:proofErr w:type="spellStart"/>
      <w:r w:rsidRPr="00512F0E">
        <w:rPr>
          <w:bCs/>
          <w:szCs w:val="21"/>
          <w:lang w:val="es-UY" w:eastAsia="es-UY" w:bidi="es-UY"/>
        </w:rPr>
        <w:t>Pluna</w:t>
      </w:r>
      <w:proofErr w:type="spellEnd"/>
      <w:r w:rsidRPr="00512F0E">
        <w:rPr>
          <w:bCs/>
          <w:szCs w:val="21"/>
          <w:lang w:val="es-UY" w:eastAsia="es-UY" w:bidi="es-UY"/>
        </w:rPr>
        <w:t xml:space="preserve"> y pagó las consecuencias. Quienes decidieron su cierre, impulsaron las acusaciones y condujeron la operación posterior con los aviones deben quedar identificados, con sus actos y sus responsabilidades. Mujica murió; López Mena y los demás protagonistas vivos todavía pueden responder. El tiempo transcurrido hace más urgente esa rendición de cuentas. No la cancela.</w:t>
      </w:r>
    </w:p>
    <w:p w14:paraId="11E2EB0F" w14:textId="77777777" w:rsidR="00512F0E" w:rsidRPr="00512F0E" w:rsidRDefault="00512F0E" w:rsidP="00512F0E">
      <w:pPr>
        <w:spacing w:after="60" w:line="240" w:lineRule="auto"/>
        <w:jc w:val="right"/>
        <w:rPr>
          <w:bCs/>
          <w:sz w:val="21"/>
          <w:szCs w:val="21"/>
        </w:rPr>
      </w:pPr>
    </w:p>
    <w:p w14:paraId="111BDFBF" w14:textId="77777777" w:rsidR="00C4076F" w:rsidRPr="00512F0E" w:rsidRDefault="00C4076F">
      <w:pPr>
        <w:spacing w:after="60" w:line="240" w:lineRule="auto"/>
        <w:jc w:val="right"/>
        <w:rPr>
          <w:bCs/>
          <w:sz w:val="21"/>
          <w:szCs w:val="21"/>
        </w:rPr>
      </w:pPr>
    </w:p>
    <w:p w14:paraId="75634A2C" w14:textId="50040394" w:rsidR="00C4076F" w:rsidRPr="00512F0E" w:rsidRDefault="00C4076F">
      <w:pPr>
        <w:spacing w:after="60" w:line="240" w:lineRule="auto"/>
        <w:jc w:val="right"/>
        <w:rPr>
          <w:bCs/>
          <w:sz w:val="21"/>
          <w:szCs w:val="21"/>
        </w:rPr>
      </w:pPr>
    </w:p>
    <w:p w14:paraId="7D216521" w14:textId="77777777" w:rsidR="00C4076F" w:rsidRPr="00512F0E" w:rsidRDefault="00C4076F">
      <w:pPr>
        <w:spacing w:after="60" w:line="240" w:lineRule="auto"/>
        <w:jc w:val="right"/>
        <w:rPr>
          <w:bCs/>
          <w:sz w:val="21"/>
          <w:szCs w:val="21"/>
        </w:rPr>
      </w:pPr>
    </w:p>
    <w:p w14:paraId="0531999B" w14:textId="77777777" w:rsidR="00C4076F" w:rsidRPr="00512F0E" w:rsidRDefault="00C4076F">
      <w:pPr>
        <w:spacing w:after="60" w:line="240" w:lineRule="auto"/>
        <w:jc w:val="right"/>
        <w:rPr>
          <w:bCs/>
          <w:sz w:val="21"/>
          <w:szCs w:val="21"/>
        </w:rPr>
      </w:pPr>
    </w:p>
    <w:p w14:paraId="5ADE711A" w14:textId="77777777" w:rsidR="00C4076F" w:rsidRPr="00512F0E" w:rsidRDefault="00C4076F">
      <w:pPr>
        <w:spacing w:after="60" w:line="240" w:lineRule="auto"/>
        <w:jc w:val="right"/>
        <w:rPr>
          <w:bCs/>
          <w:sz w:val="21"/>
          <w:szCs w:val="21"/>
        </w:rPr>
      </w:pPr>
    </w:p>
    <w:p w14:paraId="22A5C937" w14:textId="77777777" w:rsidR="00C4076F" w:rsidRPr="00512F0E" w:rsidRDefault="00C4076F">
      <w:pPr>
        <w:spacing w:after="60" w:line="240" w:lineRule="auto"/>
        <w:jc w:val="right"/>
        <w:rPr>
          <w:bCs/>
          <w:sz w:val="21"/>
          <w:szCs w:val="21"/>
        </w:rPr>
      </w:pPr>
    </w:p>
    <w:p w14:paraId="4D25037E" w14:textId="77777777" w:rsidR="00C4076F" w:rsidRPr="00512F0E" w:rsidRDefault="00C4076F">
      <w:pPr>
        <w:spacing w:after="60" w:line="240" w:lineRule="auto"/>
        <w:jc w:val="right"/>
        <w:rPr>
          <w:bCs/>
          <w:sz w:val="21"/>
          <w:szCs w:val="21"/>
        </w:rPr>
      </w:pPr>
    </w:p>
    <w:p w14:paraId="4FF568B6" w14:textId="77777777" w:rsidR="00C4076F" w:rsidRPr="00512F0E" w:rsidRDefault="00000000">
      <w:pPr>
        <w:spacing w:after="60" w:line="240" w:lineRule="auto"/>
        <w:rPr>
          <w:bCs/>
        </w:rPr>
      </w:pPr>
      <w:r w:rsidRPr="00512F0E">
        <w:rPr>
          <w:bCs/>
          <w:lang w:val="es-UY" w:eastAsia="es-UY" w:bidi="es-UY"/>
        </w:rPr>
        <w:br w:type="page"/>
      </w:r>
    </w:p>
    <w:sectPr w:rsidR="00C4076F" w:rsidRPr="00512F0E">
      <w:headerReference w:type="default" r:id="rId10"/>
      <w:footerReference w:type="default" r:id="rId11"/>
      <w:pgSz w:w="12240" w:h="15840"/>
      <w:pgMar w:top="2121" w:right="929" w:bottom="1253"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FDCA9" w14:textId="77777777" w:rsidR="00F219F7" w:rsidRDefault="00F219F7">
      <w:pPr>
        <w:spacing w:line="240" w:lineRule="auto"/>
      </w:pPr>
      <w:r>
        <w:separator/>
      </w:r>
    </w:p>
  </w:endnote>
  <w:endnote w:type="continuationSeparator" w:id="0">
    <w:p w14:paraId="01BECEB1" w14:textId="77777777" w:rsidR="00F219F7" w:rsidRDefault="00F219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A281" w14:textId="77777777" w:rsidR="00C4076F" w:rsidRDefault="00000000">
    <w:pPr>
      <w:pStyle w:val="Piedepgina"/>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8B1E5" w14:textId="77777777" w:rsidR="00F219F7" w:rsidRDefault="00F219F7">
      <w:pPr>
        <w:spacing w:after="0"/>
      </w:pPr>
      <w:r>
        <w:separator/>
      </w:r>
    </w:p>
  </w:footnote>
  <w:footnote w:type="continuationSeparator" w:id="0">
    <w:p w14:paraId="3AAE011B" w14:textId="77777777" w:rsidR="00F219F7" w:rsidRDefault="00F219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9CE8" w14:textId="77777777" w:rsidR="00C4076F" w:rsidRDefault="00000000">
    <w:pPr>
      <w:pStyle w:val="Encabezado"/>
      <w:rPr>
        <w:lang w:val="es-ES"/>
      </w:rPr>
    </w:pPr>
    <w:r>
      <w:rPr>
        <w:noProof/>
        <w:sz w:val="42"/>
      </w:rPr>
      <mc:AlternateContent>
        <mc:Choice Requires="wps">
          <w:drawing>
            <wp:anchor distT="0" distB="0" distL="114300" distR="114300" simplePos="0" relativeHeight="251660288" behindDoc="0" locked="0" layoutInCell="1" allowOverlap="1" wp14:anchorId="0A1909B4" wp14:editId="7D9600A0">
              <wp:simplePos x="0" y="0"/>
              <wp:positionH relativeFrom="column">
                <wp:posOffset>1943735</wp:posOffset>
              </wp:positionH>
              <wp:positionV relativeFrom="paragraph">
                <wp:posOffset>220345</wp:posOffset>
              </wp:positionV>
              <wp:extent cx="4296410" cy="266065"/>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4296410" cy="266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41E31" w14:textId="77777777" w:rsidR="00C4076F" w:rsidRDefault="00000000">
                          <w:pPr>
                            <w:wordWrap w:val="0"/>
                            <w:jc w:val="right"/>
                            <w:rPr>
                              <w:rFonts w:ascii="Montserrat" w:hAnsi="Montserrat" w:cs="Montserrat"/>
                              <w:b/>
                              <w:i/>
                              <w:iCs/>
                              <w:color w:val="C00000"/>
                              <w:sz w:val="21"/>
                              <w:szCs w:val="21"/>
                              <w:lang w:val="es-ES"/>
                            </w:rPr>
                          </w:pPr>
                          <w:r>
                            <w:rPr>
                              <w:rFonts w:ascii="Montserrat" w:hAnsi="Montserrat" w:cs="Montserrat"/>
                              <w:b/>
                              <w:i/>
                              <w:iCs/>
                              <w:color w:val="C00000"/>
                              <w:sz w:val="21"/>
                              <w:szCs w:val="21"/>
                              <w:lang w:val="es-ES"/>
                            </w:rPr>
                            <w:t>Título del estudio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153.05pt;margin-top:17.35pt;height:20.95pt;width:338.3pt;z-index:251660288;mso-width-relative:page;mso-height-relative:page;" filled="f" stroked="f" coordsize="21600,21600" o:gfxdata="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V7PGLaAAAACQEAAA8AAAAAAAAAAQAgAAAAIgAAAGRycy9kb3ducmV2Lnht&#10;bFBLAQIUABQAAAAIAIdO4kD7X0SLMAIAAGwEAAAOAAAAAAAAAAEAIAAAACkBAABkcnMvZTJvRG9j&#10;LnhtbFBLBQYAAAAABgAGAFkBAADLBQAAAAA=&#10;">
              <v:fill on="f" focussize="0,0"/>
              <v:stroke on="f" weight="0.5pt"/>
              <v:imagedata o:title=""/>
              <o:lock v:ext="edit" aspectratio="f"/>
              <v:textbox>
                <w:txbxContent>
                  <w:p w14:paraId="5BBB419B">
                    <w:pPr>
                      <w:wordWrap w:val="0"/>
                      <w:jc w:val="right"/>
                      <w:rPr>
                        <w:rFonts w:hint="default" w:ascii="Montserrat" w:hAnsi="Montserrat" w:cs="Montserrat"/>
                        <w:b/>
                        <w:bCs w:val="0"/>
                        <w:i/>
                        <w:iCs/>
                        <w:color w:val="C00000"/>
                        <w:sz w:val="21"/>
                        <w:szCs w:val="21"/>
                        <w:lang w:val="es-ES"/>
                      </w:rPr>
                    </w:pPr>
                    <w:r>
                      <w:rPr>
                        <w:rFonts w:hint="default" w:ascii="Montserrat" w:hAnsi="Montserrat" w:cs="Montserrat"/>
                        <w:b/>
                        <w:bCs w:val="0"/>
                        <w:i/>
                        <w:iCs/>
                        <w:color w:val="C00000"/>
                        <w:sz w:val="21"/>
                        <w:szCs w:val="21"/>
                        <w:lang w:val="es-ES"/>
                      </w:rPr>
                      <w:t>Título del estudio</w:t>
                    </w:r>
                  </w:p>
                </w:txbxContent>
              </v:textbox>
            </v:shape>
          </w:pict>
        </mc:Fallback>
      </mc:AlternateContent>
    </w:r>
    <w:r>
      <w:rPr>
        <w:noProof/>
        <w:lang w:val="es-ES"/>
      </w:rPr>
      <w:drawing>
        <wp:anchor distT="0" distB="0" distL="114300" distR="114300" simplePos="0" relativeHeight="251659264" behindDoc="1" locked="0" layoutInCell="1" allowOverlap="1" wp14:anchorId="7EA2E9D7" wp14:editId="4AF1D6B7">
          <wp:simplePos x="0" y="0"/>
          <wp:positionH relativeFrom="column">
            <wp:posOffset>-913765</wp:posOffset>
          </wp:positionH>
          <wp:positionV relativeFrom="paragraph">
            <wp:posOffset>-495300</wp:posOffset>
          </wp:positionV>
          <wp:extent cx="7971155" cy="10117455"/>
          <wp:effectExtent l="0" t="0" r="0" b="0"/>
          <wp:wrapNone/>
          <wp:docPr id="1" name="Imagen 1" descr="hoja membretada estudios p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hoja membretada estudios pda"/>
                  <pic:cNvPicPr>
                    <a:picLocks noChangeAspect="1"/>
                  </pic:cNvPicPr>
                </pic:nvPicPr>
                <pic:blipFill>
                  <a:blip r:embed="rId1"/>
                  <a:stretch>
                    <a:fillRect/>
                  </a:stretch>
                </pic:blipFill>
                <pic:spPr>
                  <a:xfrm>
                    <a:off x="0" y="0"/>
                    <a:ext cx="7971155" cy="101174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aconnmeros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aconnmeros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aconvietas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aconvietas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aconnmeros"/>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aconvietas"/>
      <w:lvlText w:val=""/>
      <w:lvlJc w:val="left"/>
      <w:pPr>
        <w:tabs>
          <w:tab w:val="left" w:pos="360"/>
        </w:tabs>
        <w:ind w:left="360" w:hanging="360"/>
      </w:pPr>
      <w:rPr>
        <w:rFonts w:ascii="Symbol" w:hAnsi="Symbol" w:hint="default"/>
      </w:rPr>
    </w:lvl>
  </w:abstractNum>
  <w:num w:numId="1" w16cid:durableId="558176032">
    <w:abstractNumId w:val="1"/>
  </w:num>
  <w:num w:numId="2" w16cid:durableId="1147623127">
    <w:abstractNumId w:val="0"/>
  </w:num>
  <w:num w:numId="3" w16cid:durableId="9919275">
    <w:abstractNumId w:val="4"/>
  </w:num>
  <w:num w:numId="4" w16cid:durableId="193158412">
    <w:abstractNumId w:val="2"/>
  </w:num>
  <w:num w:numId="5" w16cid:durableId="570694373">
    <w:abstractNumId w:val="5"/>
  </w:num>
  <w:num w:numId="6" w16cid:durableId="1195384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90239"/>
    <w:rsid w:val="0015074B"/>
    <w:rsid w:val="0029639D"/>
    <w:rsid w:val="00326F90"/>
    <w:rsid w:val="00512F0E"/>
    <w:rsid w:val="0057652E"/>
    <w:rsid w:val="005C5959"/>
    <w:rsid w:val="00786CCB"/>
    <w:rsid w:val="00791020"/>
    <w:rsid w:val="0087643A"/>
    <w:rsid w:val="0094772F"/>
    <w:rsid w:val="009664EE"/>
    <w:rsid w:val="00AA1D8D"/>
    <w:rsid w:val="00B47730"/>
    <w:rsid w:val="00C4076F"/>
    <w:rsid w:val="00CB0664"/>
    <w:rsid w:val="00DC292A"/>
    <w:rsid w:val="00F219F7"/>
    <w:rsid w:val="00FC693F"/>
    <w:rsid w:val="0D79298D"/>
    <w:rsid w:val="261E7C99"/>
    <w:rsid w:val="2D83693B"/>
    <w:rsid w:val="585D572F"/>
    <w:rsid w:val="6C4152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2905516"/>
  <w14:defaultImageDpi w14:val="300"/>
  <w15:docId w15:val="{27CACC8D-4E4E-4C00-A506-6B521C75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9" w:lineRule="auto"/>
    </w:pPr>
    <w:rPr>
      <w:rFonts w:ascii="Arial" w:hAnsi="Arial"/>
      <w:sz w:val="22"/>
      <w:szCs w:val="22"/>
      <w:lang w:val="en-US" w:eastAsia="en-US"/>
    </w:rPr>
  </w:style>
  <w:style w:type="paragraph" w:styleId="Ttulo1">
    <w:name w:val="heading 1"/>
    <w:basedOn w:val="Normal"/>
    <w:next w:val="Normal"/>
    <w:link w:val="Ttulo1Car"/>
    <w:uiPriority w:val="9"/>
    <w:qFormat/>
    <w:pPr>
      <w:keepNext/>
      <w:keepLines/>
      <w:spacing w:before="240" w:after="160"/>
      <w:outlineLvl w:val="0"/>
    </w:pPr>
    <w:rPr>
      <w:rFonts w:asciiTheme="majorHAnsi" w:eastAsiaTheme="majorEastAsia" w:hAnsiTheme="majorHAnsi" w:cstheme="majorBidi"/>
      <w:b/>
      <w:bCs/>
      <w:color w:val="365F91" w:themeColor="accent1" w:themeShade="BF"/>
      <w:sz w:val="30"/>
      <w:szCs w:val="28"/>
    </w:rPr>
  </w:style>
  <w:style w:type="paragraph" w:styleId="Ttulo2">
    <w:name w:val="heading 2"/>
    <w:basedOn w:val="Normal"/>
    <w:next w:val="Normal"/>
    <w:link w:val="Ttulo2Car"/>
    <w:uiPriority w:val="9"/>
    <w:unhideWhenUsed/>
    <w:qFormat/>
    <w:pPr>
      <w:keepNext/>
      <w:keepLines/>
      <w:spacing w:before="160" w:after="100"/>
      <w:outlineLvl w:val="1"/>
    </w:pPr>
    <w:rPr>
      <w:rFonts w:asciiTheme="majorHAnsi" w:eastAsiaTheme="majorEastAsia" w:hAnsiTheme="majorHAnsi" w:cstheme="majorBidi"/>
      <w:b/>
      <w:bCs/>
      <w:color w:val="4F81BD" w:themeColor="accent1"/>
      <w:sz w:val="24"/>
      <w:szCs w:val="26"/>
    </w:rPr>
  </w:style>
  <w:style w:type="paragraph" w:styleId="Ttulo3">
    <w:name w:val="heading 3"/>
    <w:basedOn w:val="Normal"/>
    <w:next w:val="Normal"/>
    <w:link w:val="Ttulo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Ttulo6">
    <w:name w:val="heading 6"/>
    <w:basedOn w:val="Normal"/>
    <w:next w:val="Normal"/>
    <w:link w:val="Ttulo6C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Ttulo7">
    <w:name w:val="heading 7"/>
    <w:basedOn w:val="Normal"/>
    <w:next w:val="Normal"/>
    <w:link w:val="Ttulo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Pr>
      <w:i/>
      <w:iCs/>
    </w:rPr>
  </w:style>
  <w:style w:type="character" w:styleId="Fuerte">
    <w:name w:val="Strong"/>
    <w:basedOn w:val="Fuentedeprrafopredeter"/>
    <w:uiPriority w:val="22"/>
    <w:qFormat/>
    <w:rPr>
      <w:b/>
      <w:bCs/>
    </w:rPr>
  </w:style>
  <w:style w:type="paragraph" w:styleId="Continuarlista2">
    <w:name w:val="List Continue 2"/>
    <w:basedOn w:val="Normal"/>
    <w:uiPriority w:val="99"/>
    <w:unhideWhenUsed/>
    <w:pPr>
      <w:ind w:left="720"/>
      <w:contextualSpacing/>
    </w:pPr>
  </w:style>
  <w:style w:type="paragraph" w:styleId="Descripcin">
    <w:name w:val="caption"/>
    <w:basedOn w:val="Normal"/>
    <w:next w:val="Normal"/>
    <w:uiPriority w:val="35"/>
    <w:semiHidden/>
    <w:unhideWhenUsed/>
    <w:qFormat/>
    <w:pPr>
      <w:spacing w:line="240" w:lineRule="auto"/>
    </w:pPr>
    <w:rPr>
      <w:b/>
      <w:bCs/>
      <w:color w:val="4F81BD" w:themeColor="accent1"/>
      <w:sz w:val="18"/>
      <w:szCs w:val="18"/>
    </w:rPr>
  </w:style>
  <w:style w:type="paragraph" w:styleId="Textomacro">
    <w:name w:val="macro"/>
    <w:link w:val="TextomacroC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Continuarlista3">
    <w:name w:val="List Continue 3"/>
    <w:basedOn w:val="Normal"/>
    <w:uiPriority w:val="99"/>
    <w:unhideWhenUsed/>
    <w:pPr>
      <w:ind w:left="1080"/>
      <w:contextualSpacing/>
    </w:pPr>
  </w:style>
  <w:style w:type="paragraph" w:styleId="Continuarlista">
    <w:name w:val="List Continue"/>
    <w:basedOn w:val="Normal"/>
    <w:uiPriority w:val="99"/>
    <w:unhideWhenUsed/>
    <w:qFormat/>
    <w:pPr>
      <w:ind w:left="360"/>
      <w:contextualSpacing/>
    </w:pPr>
  </w:style>
  <w:style w:type="paragraph" w:styleId="Textoindependiente2">
    <w:name w:val="Body Text 2"/>
    <w:basedOn w:val="Normal"/>
    <w:link w:val="Textoindependiente2Car"/>
    <w:uiPriority w:val="99"/>
    <w:unhideWhenUsed/>
    <w:qFormat/>
    <w:pPr>
      <w:spacing w:line="480" w:lineRule="auto"/>
    </w:pPr>
  </w:style>
  <w:style w:type="paragraph" w:styleId="Lista3">
    <w:name w:val="List 3"/>
    <w:basedOn w:val="Normal"/>
    <w:uiPriority w:val="99"/>
    <w:unhideWhenUsed/>
    <w:qFormat/>
    <w:pPr>
      <w:ind w:left="1080" w:hanging="360"/>
      <w:contextualSpacing/>
    </w:pPr>
  </w:style>
  <w:style w:type="paragraph" w:styleId="Listaconnmeros2">
    <w:name w:val="List Number 2"/>
    <w:basedOn w:val="Normal"/>
    <w:uiPriority w:val="99"/>
    <w:unhideWhenUsed/>
    <w:qFormat/>
    <w:pPr>
      <w:numPr>
        <w:numId w:val="1"/>
      </w:numPr>
      <w:contextualSpacing/>
    </w:pPr>
  </w:style>
  <w:style w:type="paragraph" w:styleId="Encabezado">
    <w:name w:val="header"/>
    <w:basedOn w:val="Normal"/>
    <w:link w:val="EncabezadoCar"/>
    <w:uiPriority w:val="99"/>
    <w:unhideWhenUsed/>
    <w:qFormat/>
    <w:pPr>
      <w:tabs>
        <w:tab w:val="center" w:pos="4680"/>
        <w:tab w:val="right" w:pos="9360"/>
      </w:tabs>
      <w:spacing w:after="0" w:line="240" w:lineRule="auto"/>
    </w:pPr>
  </w:style>
  <w:style w:type="paragraph" w:styleId="Listaconnmeros3">
    <w:name w:val="List Number 3"/>
    <w:basedOn w:val="Normal"/>
    <w:uiPriority w:val="99"/>
    <w:unhideWhenUsed/>
    <w:qFormat/>
    <w:pPr>
      <w:numPr>
        <w:numId w:val="2"/>
      </w:numPr>
      <w:contextualSpacing/>
    </w:pPr>
  </w:style>
  <w:style w:type="paragraph" w:styleId="Listaconnmeros">
    <w:name w:val="List Number"/>
    <w:basedOn w:val="Normal"/>
    <w:uiPriority w:val="99"/>
    <w:unhideWhenUsed/>
    <w:qFormat/>
    <w:pPr>
      <w:numPr>
        <w:numId w:val="3"/>
      </w:numPr>
      <w:contextualSpacing/>
    </w:pPr>
  </w:style>
  <w:style w:type="paragraph" w:styleId="Lista2">
    <w:name w:val="List 2"/>
    <w:basedOn w:val="Normal"/>
    <w:uiPriority w:val="99"/>
    <w:unhideWhenUsed/>
    <w:qFormat/>
    <w:pPr>
      <w:ind w:left="720" w:hanging="360"/>
      <w:contextualSpacing/>
    </w:pPr>
  </w:style>
  <w:style w:type="paragraph" w:styleId="Listaconvietas3">
    <w:name w:val="List Bullet 3"/>
    <w:basedOn w:val="Normal"/>
    <w:uiPriority w:val="99"/>
    <w:unhideWhenUsed/>
    <w:qFormat/>
    <w:pPr>
      <w:numPr>
        <w:numId w:val="4"/>
      </w:numPr>
      <w:contextualSpacing/>
    </w:pPr>
  </w:style>
  <w:style w:type="paragraph" w:styleId="Lista">
    <w:name w:val="List"/>
    <w:basedOn w:val="Normal"/>
    <w:uiPriority w:val="99"/>
    <w:unhideWhenUsed/>
    <w:qFormat/>
    <w:pPr>
      <w:ind w:left="360" w:hanging="360"/>
      <w:contextualSpacing/>
    </w:pPr>
  </w:style>
  <w:style w:type="paragraph" w:styleId="Listaconvietas">
    <w:name w:val="List Bullet"/>
    <w:basedOn w:val="Normal"/>
    <w:uiPriority w:val="99"/>
    <w:unhideWhenUsed/>
    <w:pPr>
      <w:numPr>
        <w:numId w:val="5"/>
      </w:numPr>
      <w:contextualSpacing/>
    </w:pPr>
  </w:style>
  <w:style w:type="paragraph" w:styleId="Listaconvietas2">
    <w:name w:val="List Bullet 2"/>
    <w:basedOn w:val="Normal"/>
    <w:uiPriority w:val="99"/>
    <w:unhideWhenUsed/>
    <w:qFormat/>
    <w:pPr>
      <w:numPr>
        <w:numId w:val="6"/>
      </w:numPr>
      <w:contextualSpacing/>
    </w:pPr>
  </w:style>
  <w:style w:type="paragraph" w:styleId="Piedepgina">
    <w:name w:val="footer"/>
    <w:basedOn w:val="Normal"/>
    <w:link w:val="PiedepginaCar"/>
    <w:uiPriority w:val="99"/>
    <w:unhideWhenUsed/>
    <w:qFormat/>
    <w:pPr>
      <w:tabs>
        <w:tab w:val="center" w:pos="4680"/>
        <w:tab w:val="right" w:pos="9360"/>
      </w:tabs>
      <w:spacing w:after="0" w:line="240" w:lineRule="auto"/>
    </w:pPr>
  </w:style>
  <w:style w:type="paragraph" w:styleId="Subttulo">
    <w:name w:val="Subtitle"/>
    <w:basedOn w:val="Normal"/>
    <w:next w:val="Normal"/>
    <w:link w:val="SubttuloCar"/>
    <w:uiPriority w:val="11"/>
    <w:qFormat/>
    <w:rPr>
      <w:rFonts w:asciiTheme="majorHAnsi" w:eastAsiaTheme="majorEastAsia" w:hAnsiTheme="majorHAnsi" w:cstheme="majorBidi"/>
      <w:i/>
      <w:iCs/>
      <w:color w:val="4F81BD" w:themeColor="accent1"/>
      <w:spacing w:val="15"/>
      <w:sz w:val="24"/>
      <w:szCs w:val="24"/>
    </w:rPr>
  </w:style>
  <w:style w:type="paragraph" w:styleId="Textoindependiente">
    <w:name w:val="Body Text"/>
    <w:basedOn w:val="Normal"/>
    <w:link w:val="TextoindependienteCar"/>
    <w:uiPriority w:val="99"/>
    <w:unhideWhenUsed/>
    <w:qFormat/>
  </w:style>
  <w:style w:type="paragraph" w:styleId="Textoindependiente3">
    <w:name w:val="Body Text 3"/>
    <w:basedOn w:val="Normal"/>
    <w:link w:val="Textoindependiente3Car"/>
    <w:uiPriority w:val="99"/>
    <w:unhideWhenUsed/>
    <w:qFormat/>
    <w:rPr>
      <w:sz w:val="16"/>
      <w:szCs w:val="16"/>
    </w:rPr>
  </w:style>
  <w:style w:type="paragraph" w:styleId="Ttulo">
    <w:name w:val="Title"/>
    <w:basedOn w:val="Normal"/>
    <w:next w:val="Normal"/>
    <w:link w:val="Ttulo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style>
  <w:style w:type="paragraph" w:styleId="Sinespaciado">
    <w:name w:val="No Spacing"/>
    <w:uiPriority w:val="1"/>
    <w:qFormat/>
    <w:rPr>
      <w:sz w:val="22"/>
      <w:szCs w:val="22"/>
      <w:lang w:val="en-US" w:eastAsia="en-US"/>
    </w:rPr>
  </w:style>
  <w:style w:type="character" w:customStyle="1" w:styleId="Ttulo1Car">
    <w:name w:val="Título 1 Car"/>
    <w:basedOn w:val="Fuentedeprrafopredeter"/>
    <w:link w:val="Ttulo1"/>
    <w:uiPriority w:val="9"/>
    <w:qFormat/>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qFormat/>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qFormat/>
    <w:rPr>
      <w:rFonts w:asciiTheme="majorHAnsi" w:eastAsiaTheme="majorEastAsia" w:hAnsiTheme="majorHAnsi" w:cstheme="majorBidi"/>
      <w:b/>
      <w:bCs/>
      <w:color w:val="4F81BD" w:themeColor="accent1"/>
    </w:rPr>
  </w:style>
  <w:style w:type="character" w:customStyle="1" w:styleId="TtuloCar">
    <w:name w:val="Título Car"/>
    <w:basedOn w:val="Fuentedeprrafopredeter"/>
    <w:link w:val="Ttulo"/>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tuloCar">
    <w:name w:val="Subtítulo Car"/>
    <w:basedOn w:val="Fuentedeprrafopredeter"/>
    <w:link w:val="Subttulo"/>
    <w:uiPriority w:val="11"/>
    <w:qFormat/>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pPr>
      <w:ind w:left="720"/>
      <w:contextualSpacing/>
    </w:pPr>
  </w:style>
  <w:style w:type="character" w:customStyle="1" w:styleId="TextoindependienteCar">
    <w:name w:val="Texto independiente Car"/>
    <w:basedOn w:val="Fuentedeprrafopredeter"/>
    <w:link w:val="Textoindependiente"/>
    <w:uiPriority w:val="99"/>
    <w:qFormat/>
  </w:style>
  <w:style w:type="character" w:customStyle="1" w:styleId="Textoindependiente2Car">
    <w:name w:val="Texto independiente 2 Car"/>
    <w:basedOn w:val="Fuentedeprrafopredeter"/>
    <w:link w:val="Textoindependiente2"/>
    <w:uiPriority w:val="99"/>
  </w:style>
  <w:style w:type="character" w:customStyle="1" w:styleId="Textoindependiente3Car">
    <w:name w:val="Texto independiente 3 Car"/>
    <w:basedOn w:val="Fuentedeprrafopredeter"/>
    <w:link w:val="Textoindependiente3"/>
    <w:uiPriority w:val="99"/>
    <w:qFormat/>
    <w:rPr>
      <w:sz w:val="16"/>
      <w:szCs w:val="16"/>
    </w:rPr>
  </w:style>
  <w:style w:type="character" w:customStyle="1" w:styleId="TextomacroCar">
    <w:name w:val="Texto macro Car"/>
    <w:basedOn w:val="Fuentedeprrafopredeter"/>
    <w:link w:val="Textomacro"/>
    <w:uiPriority w:val="99"/>
    <w:qFormat/>
    <w:rPr>
      <w:rFonts w:ascii="Courier" w:hAnsi="Courier"/>
      <w:sz w:val="20"/>
      <w:szCs w:val="20"/>
    </w:rPr>
  </w:style>
  <w:style w:type="paragraph" w:styleId="Cita">
    <w:name w:val="Quote"/>
    <w:basedOn w:val="Normal"/>
    <w:next w:val="Normal"/>
    <w:link w:val="CitaCar"/>
    <w:uiPriority w:val="29"/>
    <w:qFormat/>
    <w:rPr>
      <w:i/>
      <w:iCs/>
      <w:color w:val="000000" w:themeColor="text1"/>
    </w:rPr>
  </w:style>
  <w:style w:type="character" w:customStyle="1" w:styleId="CitaCar">
    <w:name w:val="Cita Car"/>
    <w:basedOn w:val="Fuentedeprrafopredeter"/>
    <w:link w:val="Cita"/>
    <w:uiPriority w:val="29"/>
    <w:qFormat/>
    <w:rPr>
      <w:i/>
      <w:iCs/>
      <w:color w:val="000000" w:themeColor="text1"/>
    </w:rPr>
  </w:style>
  <w:style w:type="character" w:customStyle="1" w:styleId="Ttulo4Car">
    <w:name w:val="Título 4 Car"/>
    <w:basedOn w:val="Fuentedeprrafopredeter"/>
    <w:link w:val="Ttulo4"/>
    <w:uiPriority w:val="9"/>
    <w:semiHidden/>
    <w:qFormat/>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qFormat/>
    <w:rPr>
      <w:rFonts w:asciiTheme="majorHAnsi" w:eastAsiaTheme="majorEastAsia" w:hAnsiTheme="majorHAnsi" w:cstheme="majorBidi"/>
      <w:color w:val="244061" w:themeColor="accent1" w:themeShade="80"/>
    </w:rPr>
  </w:style>
  <w:style w:type="character" w:customStyle="1" w:styleId="Ttulo6Car">
    <w:name w:val="Título 6 Car"/>
    <w:basedOn w:val="Fuentedeprrafopredeter"/>
    <w:link w:val="Ttulo6"/>
    <w:uiPriority w:val="9"/>
    <w:semiHidden/>
    <w:qFormat/>
    <w:rPr>
      <w:rFonts w:asciiTheme="majorHAnsi" w:eastAsiaTheme="majorEastAsia" w:hAnsiTheme="majorHAnsi" w:cstheme="majorBidi"/>
      <w:i/>
      <w:iCs/>
      <w:color w:val="244061" w:themeColor="accent1" w:themeShade="80"/>
    </w:rPr>
  </w:style>
  <w:style w:type="character" w:customStyle="1" w:styleId="Ttulo7Car">
    <w:name w:val="Título 7 Car"/>
    <w:basedOn w:val="Fuentedeprrafopredeter"/>
    <w:link w:val="Ttulo7"/>
    <w:uiPriority w:val="9"/>
    <w:semiHidden/>
    <w:qFormat/>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qFormat/>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Pr>
      <w:rFonts w:asciiTheme="majorHAnsi" w:eastAsiaTheme="majorEastAsia" w:hAnsiTheme="majorHAnsi" w:cstheme="majorBidi"/>
      <w:i/>
      <w:iCs/>
      <w:color w:val="404040" w:themeColor="text1" w:themeTint="BF"/>
      <w:sz w:val="20"/>
      <w:szCs w:val="20"/>
    </w:rPr>
  </w:style>
  <w:style w:type="paragraph" w:styleId="Citadestacada">
    <w:name w:val="Intense Quote"/>
    <w:basedOn w:val="Normal"/>
    <w:next w:val="Normal"/>
    <w:link w:val="Citadestacada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qFormat/>
    <w:rPr>
      <w:b/>
      <w:bCs/>
      <w:i/>
      <w:iCs/>
      <w:color w:val="4F81BD" w:themeColor="accent1"/>
    </w:rPr>
  </w:style>
  <w:style w:type="character" w:customStyle="1" w:styleId="nfasissutil1">
    <w:name w:val="Énfasis sutil1"/>
    <w:basedOn w:val="Fuentedeprrafopredeter"/>
    <w:uiPriority w:val="19"/>
    <w:qFormat/>
    <w:rPr>
      <w:i/>
      <w:iCs/>
      <w:color w:val="7F7F7F" w:themeColor="text1" w:themeTint="80"/>
    </w:rPr>
  </w:style>
  <w:style w:type="character" w:customStyle="1" w:styleId="nfasisintenso1">
    <w:name w:val="Énfasis intenso1"/>
    <w:basedOn w:val="Fuentedeprrafopredeter"/>
    <w:uiPriority w:val="21"/>
    <w:qFormat/>
    <w:rPr>
      <w:b/>
      <w:bCs/>
      <w:i/>
      <w:iCs/>
      <w:color w:val="4F81BD" w:themeColor="accent1"/>
    </w:rPr>
  </w:style>
  <w:style w:type="character" w:customStyle="1" w:styleId="Referenciasutil1">
    <w:name w:val="Referencia sutil1"/>
    <w:basedOn w:val="Fuentedeprrafopredeter"/>
    <w:uiPriority w:val="31"/>
    <w:qFormat/>
    <w:rPr>
      <w:smallCaps/>
      <w:color w:val="C0504D" w:themeColor="accent2"/>
      <w:u w:val="single"/>
    </w:rPr>
  </w:style>
  <w:style w:type="character" w:customStyle="1" w:styleId="Referenciaintensa1">
    <w:name w:val="Referencia intensa1"/>
    <w:basedOn w:val="Fuentedeprrafopredeter"/>
    <w:uiPriority w:val="32"/>
    <w:qFormat/>
    <w:rPr>
      <w:b/>
      <w:bCs/>
      <w:smallCaps/>
      <w:color w:val="C0504D" w:themeColor="accent2"/>
      <w:spacing w:val="5"/>
      <w:u w:val="single"/>
    </w:rPr>
  </w:style>
  <w:style w:type="character" w:customStyle="1" w:styleId="Ttulodellibro1">
    <w:name w:val="Título del libro1"/>
    <w:basedOn w:val="Fuentedeprrafopredeter"/>
    <w:uiPriority w:val="33"/>
    <w:qFormat/>
    <w:rPr>
      <w:b/>
      <w:bCs/>
      <w:smallCaps/>
      <w:spacing w:val="5"/>
    </w:rPr>
  </w:style>
  <w:style w:type="paragraph" w:customStyle="1" w:styleId="TtuloTDC1">
    <w:name w:val="Título TDC1"/>
    <w:basedOn w:val="Ttulo1"/>
    <w:next w:val="Normal"/>
    <w:uiPriority w:val="39"/>
    <w:semiHidden/>
    <w:unhideWhenUsed/>
    <w:qFormat/>
    <w:pPr>
      <w:outlineLvl w:val="9"/>
    </w:pPr>
  </w:style>
  <w:style w:type="table" w:styleId="Sombreadoclaro">
    <w:name w:val="Light Shading"/>
    <w:basedOn w:val="Tabla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Cuadrculaclara-nfasis1">
    <w:name w:val="Light Grid Accent 1"/>
    <w:basedOn w:val="Tabla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Cuadrculaclara-nfasis2">
    <w:name w:val="Light Grid Accent 2"/>
    <w:basedOn w:val="Tabla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Cuadrculaclara-nfasis3">
    <w:name w:val="Light Grid Accent 3"/>
    <w:basedOn w:val="Tabla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Cuadrculaclara-nfasis4">
    <w:name w:val="Light Grid Accent 4"/>
    <w:basedOn w:val="Tabla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Cuadrculaclara-nfasis5">
    <w:name w:val="Light Grid Accent 5"/>
    <w:basedOn w:val="Tabla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Cuadrculaclara-nfasis6">
    <w:name w:val="Light Grid Accent 6"/>
    <w:basedOn w:val="Tabla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Sombreadomedio1">
    <w:name w:val="Medium Shading 1"/>
    <w:basedOn w:val="Tabla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Cuadrculamedia3-nfasis1">
    <w:name w:val="Medium Grid 3 Accent 1"/>
    <w:basedOn w:val="Tabla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Cuadrculamedia3-nfasis2">
    <w:name w:val="Medium Grid 3 Accent 2"/>
    <w:basedOn w:val="Tabla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Cuadrculamedia3-nfasis3">
    <w:name w:val="Medium Grid 3 Accent 3"/>
    <w:basedOn w:val="Tabla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Cuadrculamedia3-nfasis4">
    <w:name w:val="Medium Grid 3 Accent 4"/>
    <w:basedOn w:val="Tabla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Cuadrculamedia3-nfasis5">
    <w:name w:val="Medium Grid 3 Accent 5"/>
    <w:basedOn w:val="Tabla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Cuadrculamedia3-nfasis6">
    <w:name w:val="Medium Grid 3 Accent 6"/>
    <w:basedOn w:val="Tabla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Listaoscura">
    <w:name w:val="Dark List"/>
    <w:basedOn w:val="Tabla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5785</Words>
  <Characters>31822</Characters>
  <Application>Microsoft Office Word</Application>
  <DocSecurity>0</DocSecurity>
  <Lines>265</Lines>
  <Paragraphs>75</Paragraphs>
  <ScaleCrop>false</ScaleCrop>
  <Company/>
  <LinksUpToDate>false</LinksUpToDate>
  <CharactersWithSpaces>37532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Antonio Herrera</cp:lastModifiedBy>
  <cp:revision>2</cp:revision>
  <dcterms:created xsi:type="dcterms:W3CDTF">2026-10-04T13:16:00Z</dcterms:created>
  <dcterms:modified xsi:type="dcterms:W3CDTF">2026-10-04T13:16:00Z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eyJoZGlkIjoiYjVjMWIyNGFjNmVmZTVkNGVkYmZiZDI1OGNjNzE0NjEiLCJ1c2VySWQiOiIyMjEyNzY3MjEzNzk0OCJ9</vt:lpwstr>
  </property>
  <property fmtid="{D5CDD505-2E9C-101B-9397-08002B2CF9AE}" pid="3" name="KSOProductBuildVer">
    <vt:lpwstr>3082-12.1.0.28485</vt:lpwstr>
  </property>
  <property fmtid="{D5CDD505-2E9C-101B-9397-08002B2CF9AE}" pid="4" name="ICV">
    <vt:lpwstr>7E876EDED82849D08260C663EC101ABE_13</vt:lpwstr>
  </property>
</Properties>
</file>